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rPr>
          <w:rFonts w:hint="eastAsia" w:ascii="方正小标宋简体" w:hAnsi="方正小标宋简体" w:eastAsia="方正小标宋简体" w:cs="方正小标宋简体"/>
          <w:color w:val="000000" w:themeColor="text1"/>
          <w:sz w:val="44"/>
          <w:szCs w:val="44"/>
        </w:rPr>
      </w:pPr>
      <w:r>
        <w:rPr>
          <w:rFonts w:hint="eastAsia" w:asciiTheme="minorEastAsia" w:hAnsiTheme="minorEastAsia" w:eastAsiaTheme="minorEastAsia"/>
          <w:color w:val="000000" w:themeColor="text1"/>
          <w:sz w:val="24"/>
          <w:szCs w:val="24"/>
          <w:lang w:val="en-US" w:eastAsia="zh-CN"/>
        </w:rPr>
        <w:t xml:space="preserve">                </w:t>
      </w:r>
      <w:r>
        <w:rPr>
          <w:rFonts w:hint="eastAsia" w:ascii="方正小标宋简体" w:hAnsi="方正小标宋简体" w:eastAsia="方正小标宋简体" w:cs="方正小标宋简体"/>
          <w:color w:val="000000" w:themeColor="text1"/>
          <w:sz w:val="44"/>
          <w:szCs w:val="44"/>
          <w:lang w:val="en-US" w:eastAsia="zh-CN"/>
        </w:rPr>
        <w:t xml:space="preserve">第七讲  </w:t>
      </w:r>
      <w:r>
        <w:rPr>
          <w:rFonts w:hint="eastAsia" w:ascii="方正小标宋简体" w:hAnsi="方正小标宋简体" w:eastAsia="方正小标宋简体" w:cs="方正小标宋简体"/>
          <w:color w:val="000000" w:themeColor="text1"/>
          <w:sz w:val="44"/>
          <w:szCs w:val="44"/>
        </w:rPr>
        <w:t>卵巢癌的术前诊断</w:t>
      </w:r>
    </w:p>
    <w:p>
      <w:pPr>
        <w:spacing w:line="220" w:lineRule="atLeast"/>
        <w:rPr>
          <w:rFonts w:hint="eastAsia" w:ascii="仿宋_GB2312" w:hAnsi="仿宋_GB2312" w:eastAsia="仿宋_GB2312" w:cs="仿宋_GB2312"/>
          <w:color w:val="000000" w:themeColor="text1"/>
          <w:sz w:val="32"/>
          <w:szCs w:val="32"/>
        </w:rPr>
      </w:pPr>
      <w:r>
        <w:rPr>
          <w:rFonts w:hint="eastAsia" w:asciiTheme="minorEastAsia" w:hAnsiTheme="minorEastAsia" w:eastAsiaTheme="minorEastAsia"/>
          <w:color w:val="000000" w:themeColor="text1"/>
          <w:sz w:val="24"/>
          <w:szCs w:val="24"/>
          <w:lang w:val="en-US" w:eastAsia="zh-CN"/>
        </w:rPr>
        <w:t xml:space="preserve">                    </w:t>
      </w:r>
      <w:r>
        <w:rPr>
          <w:rFonts w:hint="eastAsia" w:ascii="仿宋_GB2312" w:hAnsi="仿宋_GB2312" w:eastAsia="仿宋_GB2312" w:cs="仿宋_GB2312"/>
          <w:color w:val="000000" w:themeColor="text1"/>
          <w:sz w:val="32"/>
          <w:szCs w:val="32"/>
          <w:lang w:val="en-US" w:eastAsia="zh-CN"/>
        </w:rPr>
        <w:t xml:space="preserve">   </w:t>
      </w:r>
      <w:bookmarkStart w:id="0" w:name="_GoBack"/>
      <w:bookmarkEnd w:id="0"/>
      <w:r>
        <w:rPr>
          <w:rFonts w:hint="eastAsia" w:ascii="仿宋_GB2312" w:hAnsi="仿宋_GB2312" w:eastAsia="仿宋_GB2312" w:cs="仿宋_GB2312"/>
          <w:color w:val="000000" w:themeColor="text1"/>
          <w:sz w:val="32"/>
          <w:szCs w:val="32"/>
        </w:rPr>
        <w:t>福建省立医院</w:t>
      </w:r>
      <w:r>
        <w:rPr>
          <w:rFonts w:hint="eastAsia" w:ascii="仿宋_GB2312" w:hAnsi="仿宋_GB2312" w:eastAsia="仿宋_GB2312" w:cs="仿宋_GB2312"/>
          <w:color w:val="000000" w:themeColor="text1"/>
          <w:sz w:val="32"/>
          <w:szCs w:val="32"/>
          <w:lang w:val="en-US" w:eastAsia="zh-CN"/>
        </w:rPr>
        <w:t xml:space="preserve">  </w:t>
      </w:r>
      <w:r>
        <w:rPr>
          <w:rFonts w:hint="eastAsia" w:ascii="仿宋_GB2312" w:hAnsi="仿宋_GB2312" w:eastAsia="仿宋_GB2312" w:cs="仿宋_GB2312"/>
          <w:color w:val="000000" w:themeColor="text1"/>
          <w:sz w:val="32"/>
          <w:szCs w:val="32"/>
        </w:rPr>
        <w:t>林宁</w:t>
      </w:r>
    </w:p>
    <w:p>
      <w:pPr>
        <w:spacing w:line="220" w:lineRule="atLeast"/>
        <w:rPr>
          <w:rFonts w:hint="eastAsia" w:ascii="仿宋_GB2312" w:hAnsi="仿宋_GB2312" w:eastAsia="仿宋_GB2312" w:cs="仿宋_GB2312"/>
          <w:color w:val="000000" w:themeColor="text1"/>
          <w:sz w:val="32"/>
          <w:szCs w:val="32"/>
        </w:rPr>
      </w:pP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卵巢癌是一种异质、快速进展、高致命性、低流行率的疾病。其病因尚不清楚。因目前尚缺乏有效的筛查及早期诊断措施，绝大多数卵巢癌患者在确诊时已存在局部或远处播散，5年生存率仅约为46％，而早期疾病的生存率为92%，故新诊断的卵巢肿瘤的准确表述至关重要。根据欧洲妇科肿瘤学会(ESGO)指南，肿块可疑的患者应转介到妇科肿瘤中心，以便接受专科护理。对于非妇科原发肿瘤，患者需要转介到合适的专家，而良性病变的患者可能会被随访并保守治疗。治疗决策的选择应综合考虑患者的总体临床表现、症状、偏好、既往病史和手术史、肿瘤标志物、临床和影像学表现。本文将从卵巢癌的起源、危险因素、筛查、诊断等方面进行阐述。</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
          <w:bCs/>
          <w:color w:val="000000" w:themeColor="text1"/>
          <w:spacing w:val="15"/>
          <w:sz w:val="32"/>
          <w:szCs w:val="32"/>
        </w:rPr>
      </w:pPr>
      <w:r>
        <w:rPr>
          <w:rFonts w:hint="eastAsia" w:ascii="仿宋_GB2312" w:hAnsi="仿宋_GB2312" w:eastAsia="仿宋_GB2312" w:cs="仿宋_GB2312"/>
          <w:b/>
          <w:bCs/>
          <w:color w:val="000000" w:themeColor="text1"/>
          <w:spacing w:val="15"/>
          <w:sz w:val="32"/>
          <w:szCs w:val="32"/>
        </w:rPr>
        <w:t>1.起源</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以往的研究认为：卵巢浆液性肿瘤来自卵巢生发上皮，原发性腹膜癌来源于腹膜第二苗勒管上皮。近年，随着临床病理学和分子遗传学研究的进展，卵巢癌的二元论模型和卵巢外起源学说日益受到关注，研究者们对卵巢浆液性癌及原发性腹膜癌的发病机制有了新的认识。研究发现：卵巢高级别浆液性癌（high-grade serous carcinoma，HGSC）及发生于盆腹腔的原发性腹膜苗勒管癌，大部分起源于输卵管上皮内癌（serous tubal intraepithelial carcinoma，STIC），STIC在WHO2014版女性生殖器官肿瘤分类中定义为上皮肿瘤的前驱病变</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&lt;EndNote&gt;&lt;Cite&gt;&lt;Author&gt;Kurman&lt;/Author&gt;&lt;Year&gt;2011&lt;/Year&gt;&lt;RecNum&gt;5&lt;/RecNum&gt;&lt;DisplayText&gt;&lt;style face="superscript"&gt;[1, 2]&lt;/style&gt;&lt;/DisplayText&gt;&lt;record&gt;&lt;rec-number&gt;5&lt;/rec-number&gt;&lt;foreign-keys&gt;&lt;key app="EN" db-id="ae259rtzjardpweaps0vv054d5r2sapzzfpw" timestamp="1643120974"&gt;5&lt;/key&gt;&lt;/foreign-keys&gt;&lt;ref-type name="中文期刊"&gt;17&lt;/ref-type&gt;&lt;contributors&gt;&lt;authors&gt;&lt;author&gt;Kurman, Robert J.&lt;/author&gt;&lt;author&gt;Shih, Ie Ming %J Human Pathology&lt;/author&gt;&lt;/authors&gt;&lt;/contributors&gt;&lt;titles&gt;&lt;title&gt;Molecular pathogenesis and extraovarian origin of epithelial ovarian cancer--shifting the paradigm&lt;/title&gt;&lt;/titles&gt;&lt;pages&gt;918-931&lt;/pages&gt;&lt;volume&gt;42&lt;/volume&gt;&lt;number&gt;7&lt;/number&gt;&lt;dates&gt;&lt;year&gt;2011&lt;/year&gt;&lt;/dates&gt;&lt;urls&gt;&lt;/urls&gt;&lt;/record&gt;&lt;/Cite&gt;&lt;Cite&gt;&lt;Author&gt;沈丹华&lt;/Author&gt;&lt;Year&gt;2014&lt;/Year&gt;&lt;RecNum&gt;4&lt;/RecNum&gt;&lt;record&gt;&lt;rec-number&gt;4&lt;/rec-number&gt;&lt;foreign-keys&gt;&lt;key app="EN" db-id="ae259rtzjardpweaps0vv054d5r2sapzzfpw" timestamp="1643120959"&gt;4&lt;/key&gt;&lt;/foreign-keys&gt;&lt;ref-type name="中文期刊"&gt;17&lt;/ref-type&gt;&lt;contributors&gt;&lt;authors&gt;&lt;author&gt;沈丹华&lt;/author&gt;&lt;author&gt;陈定宝 %J 中华妇产科杂志&lt;/author&gt;&lt;/authors&gt;&lt;/contributors&gt;&lt;titles&gt;&lt;title&gt;解读第4版WHO女性生殖器官肿瘤分类中的变化&lt;/title&gt;&lt;/titles&gt;&lt;pages&gt;717-720&lt;/pages&gt;&lt;volume&gt;49&lt;/volume&gt;&lt;number&gt;9&lt;/number&gt;&lt;dates&gt;&lt;year&gt;2014&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 2]</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。分子遗传学的研究进展颠覆了以往有关卵巢及盆腹腔浆液性癌起源学说的概念，使得输卵管病变得到重视</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&lt;EndNote&gt;&lt;Cite&gt;&lt;Author&gt;张丹&lt;/Author&gt;&lt;Year&gt;2020&lt;/Year&gt;&lt;RecNum&gt;8&lt;/RecNum&gt;&lt;DisplayText&gt;&lt;style face="superscript"&gt;[3]&lt;/style&gt;&lt;/DisplayText&gt;&lt;record&gt;&lt;rec-number&gt;8&lt;/rec-number&gt;&lt;foreign-keys&gt;&lt;key app="EN" db-id="ae259rtzjardpweaps0vv054d5r2sapzzfpw" timestamp="1643122341"&gt;8&lt;/key&gt;&lt;/foreign-keys&gt;&lt;ref-type name="中文期刊"&gt;17&lt;/ref-type&gt;&lt;contributors&gt;&lt;authors&gt;&lt;author&gt;张丹&lt;/author&gt;&lt;author&gt;李燕东 %J 中华医学超声杂志：电子版&lt;/author&gt;&lt;/authors&gt;&lt;/contributors&gt;&lt;titles&gt;&lt;title&gt;卵巢与附件区肿瘤的研究进展&lt;/title&gt;&lt;/titles&gt;&lt;pages&gt;5&lt;/pages&gt;&lt;volume&gt;17&lt;/volume&gt;&lt;number&gt;3&lt;/number&gt;&lt;dates&gt;&lt;year&gt;2020&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[3]</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
          <w:bCs/>
          <w:color w:val="000000" w:themeColor="text1"/>
          <w:spacing w:val="15"/>
          <w:sz w:val="32"/>
          <w:szCs w:val="32"/>
        </w:rPr>
      </w:pPr>
      <w:r>
        <w:rPr>
          <w:rFonts w:hint="eastAsia" w:ascii="仿宋_GB2312" w:hAnsi="仿宋_GB2312" w:eastAsia="仿宋_GB2312" w:cs="仿宋_GB2312"/>
          <w:b/>
          <w:bCs/>
          <w:color w:val="000000" w:themeColor="text1"/>
          <w:spacing w:val="15"/>
          <w:sz w:val="32"/>
          <w:szCs w:val="32"/>
        </w:rPr>
        <w:t>2.危险因素</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研究发现，中国卵巢癌整体人群基因突变率为21.79%，这一数字高于国外卵巢癌的BRCA基因突变率</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&lt;EndNote&gt;&lt;Cite&gt;&lt;Author&gt;朱俊&lt;/Author&gt;&lt;Year&gt;2021&lt;/Year&gt;&lt;RecNum&gt;14&lt;/RecNum&gt;&lt;DisplayText&gt;&lt;style face="superscript"&gt;[4]&lt;/style&gt;&lt;/DisplayText&gt;&lt;record&gt;&lt;rec-number&gt;14&lt;/rec-number&gt;&lt;foreign-keys&gt;&lt;key app="EN" db-id="ae259rtzjardpweaps0vv054d5r2sapzzfpw" timestamp="1643296300"&gt;14&lt;/key&gt;&lt;/foreign-keys&gt;&lt;ref-type name="中文期刊"&gt;17&lt;/ref-type&gt;&lt;contributors&gt;&lt;authors&gt;&lt;author&gt;朱俊&lt;/author&gt;&lt;author&gt;吴小华 %J 中国癌症杂志&lt;/author&gt;&lt;/authors&gt;&lt;/contributors&gt;&lt;titles&gt;&lt;title&gt;2020年度妇科恶性肿瘤最新研究进展及展望&lt;/title&gt;&lt;/titles&gt;&lt;pages&gt;7&lt;/pages&gt;&lt;volume&gt;31&lt;/volume&gt;&lt;number&gt;4&lt;/number&gt;&lt;dates&gt;&lt;year&gt;2021&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[4]</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目前，已发现十余种抑癌基因的胚系突变与遗传性卵巢癌发病相关，其中超过80%的遗传性卵巢癌与BRCA1/2胚系突变有关。流行病学资料显示，一般女性终生（至70岁时）罹患卵巢癌的累积风险为1%~2%，而携带BRCA1基因突变的女性终生患病累积风险为59%，携带BRCA2基因突变的女性终生患病累积风险为16.5%</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&lt;EndNote&gt;&lt;Cite&gt;&lt;Author&gt;Nasim&lt;/Author&gt;&lt;Year&gt;2013&lt;/Year&gt;&lt;RecNum&gt;1&lt;/RecNum&gt;&lt;DisplayText&gt;&lt;style face="superscript"&gt;[5]&lt;/style&gt;&lt;/DisplayText&gt;&lt;record&gt;&lt;rec-number&gt;1&lt;/rec-number&gt;&lt;foreign-keys&gt;&lt;key app="EN" db-id="ae259rtzjardpweaps0vv054d5r2sapzzfpw" timestamp="1643118945"&gt;1&lt;/key&gt;&lt;/foreign-keys&gt;&lt;ref-type name="中文期刊"&gt;17&lt;/ref-type&gt;&lt;contributors&gt;&lt;authors&gt;&lt;author&gt;Nasim, M.&lt;/author&gt;&lt;author&gt;Susan, P.&lt;/author&gt;&lt;author&gt;Debra, F.&lt;/author&gt;&lt;author&gt;Steve, E.&lt;/author&gt;&lt;author&gt;Radka, P.&lt;/author&gt;&lt;author&gt;Elena, F.&lt;/author&gt;&lt;author&gt;Gareth, E. D.&lt;/author&gt;&lt;author&gt;Louise, I.&lt;/author&gt;&lt;author&gt;Eeles, R. A.&lt;/author&gt;&lt;author&gt;Julian, A. %J Journal of the National Cancer Institute&lt;/author&gt;&lt;/authors&gt;&lt;/contributors&gt;&lt;titles&gt;&lt;title&gt;Cancer Risks for BRCA1 and BRCA2 Mutation Carriers: Results From Prospective Analysis of EMBRACE&lt;/title&gt;&lt;/titles&gt;&lt;pages&gt;812-822&lt;/pages&gt;&lt;number&gt;11&lt;/number&gt;&lt;dates&gt;&lt;year&gt;2013&lt;/year&gt;&lt;/dates&gt;&lt;urls&gt;&lt;/urls&gt;&lt;/record&gt;&lt;/Cite&gt;&lt;/EndNote&gt;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[5]</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。与卵巢癌相关的遗传性肿瘤综合征主要有遗传性乳腺癌/卵巢癌综合征（hereditary breast and ovarian cancer syndrome，HBOC）、林奇综合征（Lynch syndrome，LS）等。这些综合征的共同特点包括：常染色体显性遗传，平均发病年龄较散发性患者早，患多种原发肿瘤的风险增加，可表现为一人罹患多种原发肿瘤，和（或）家族中多人罹患同种或多种原发肿瘤的情况</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&lt;EndNote&gt;&lt;Cite&gt;&lt;Author&gt;Timmerman&lt;/Author&gt;&lt;Year&gt;2021&lt;/Year&gt;&lt;RecNum&gt;3&lt;/RecNum&gt;&lt;DisplayText&gt;&lt;style face="superscript"&gt;[6]&lt;/style&gt;&lt;/DisplayText&gt;&lt;record&gt;&lt;rec-number&gt;3&lt;/rec-number&gt;&lt;foreign-keys&gt;&lt;key app="EN" db-id="ae259rtzjardpweaps0vv054d5r2sapzzfpw" timestamp="1643119024"&gt;3&lt;/key&gt;&lt;/foreign-keys&gt;&lt;ref-type name="中文期刊"&gt;17&lt;/ref-type&gt;&lt;contributors&gt;&lt;authors&gt;&lt;author&gt;Timmerman, D.&lt;/author&gt;&lt;author&gt;Planchamp, F.&lt;/author&gt;&lt;author&gt;Bourne, T.&lt;/author&gt;&lt;author&gt;Landolfo, C.&lt;/author&gt;&lt;author&gt;Mereu, L. %J International Journal of Gynecological Cancer&lt;/author&gt;&lt;/authors&gt;&lt;/contributors&gt;&lt;titles&gt;&lt;title&gt;ESGO/ISUOG/IOTA/ESGE Consensus Statement on pre-operative diagnosis of ovarian tumors&lt;/title&gt;&lt;/titles&gt;&lt;pages&gt;1-22&lt;/pages&gt;&lt;dates&gt;&lt;year&gt;2021&lt;/year&gt;&lt;/dates&gt;&lt;urls&gt;&lt;/urls&gt;&lt;/record&gt;&lt;/Cite&gt;&lt;/EndNote&gt;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[6]</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其他危险因素还包括未怀孕、初潮年龄早、绝经年龄晚、吸烟、良性妇科疾病(包括子宫内膜异位症、多囊卵巢综合征和盆腔炎症等</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&lt;EndNote&gt;&lt;Cite&gt;&lt;Author&gt;Stephanie&lt;/Author&gt;&lt;Year&gt;2019&lt;/Year&gt;&lt;RecNum&gt;2&lt;/RecNum&gt;&lt;DisplayText&gt;&lt;style face="superscript"&gt;[7]&lt;/style&gt;&lt;/DisplayText&gt;&lt;record&gt;&lt;rec-number&gt;2&lt;/rec-number&gt;&lt;foreign-keys&gt;&lt;key app="EN" db-id="ae259rtzjardpweaps0vv054d5r2sapzzfpw" timestamp="1643118958"&gt;2&lt;/key&gt;&lt;/foreign-keys&gt;&lt;ref-type name="中文期刊"&gt;17&lt;/ref-type&gt;&lt;contributors&gt;&lt;authors&gt;&lt;author&gt;Stephanie, L.&lt;/author&gt;&lt;author&gt;Charlie, G.&lt;/author&gt;&lt;author&gt;Ignace, V.&lt;/author&gt;&lt;author&gt;Oza, A. M. %J Lancet&lt;/author&gt;&lt;/authors&gt;&lt;/contributors&gt;&lt;titles&gt;&lt;title&gt;Epithelial ovarian cancer&lt;/title&gt;&lt;/titles&gt;&lt;pages&gt;1240-1253页&lt;/pages&gt;&lt;volume&gt;2019年393卷10177期&lt;/volume&gt;&lt;dates&gt;&lt;year&gt;2019&lt;/year&gt;&lt;/dates&gt;&lt;urls&gt;&lt;/urls&gt;&lt;/record&gt;&lt;/Cite&gt;&lt;/EndNote&gt;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[7]</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
          <w:bCs/>
          <w:color w:val="000000" w:themeColor="text1"/>
          <w:spacing w:val="15"/>
          <w:sz w:val="32"/>
          <w:szCs w:val="32"/>
        </w:rPr>
      </w:pPr>
      <w:r>
        <w:rPr>
          <w:rFonts w:hint="eastAsia" w:ascii="仿宋_GB2312" w:hAnsi="仿宋_GB2312" w:eastAsia="仿宋_GB2312" w:cs="仿宋_GB2312"/>
          <w:b/>
          <w:bCs/>
          <w:color w:val="000000" w:themeColor="text1"/>
          <w:spacing w:val="15"/>
          <w:sz w:val="32"/>
          <w:szCs w:val="32"/>
        </w:rPr>
        <w:t>3.筛查</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尽管在卵巢癌的筛查和早期诊断中已经做了相当大的努力，但目前仍缺乏有效的筛查手段，无论是普通人群还是高危人群，通过血清标志物、超声检查或盆腔检查进行卵巢癌常规筛查都不能降低死亡率，任何国家组织也没有推荐进行一般人群的卵巢癌常规筛查</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&lt;EndNote&gt;&lt;Cite&gt;&lt;Author&gt;Hogg&lt;/Author&gt;&lt;Year&gt;2004&lt;/Year&gt;&lt;RecNum&gt;10&lt;/RecNum&gt;&lt;DisplayText&gt;&lt;style face="superscript"&gt;[8]&lt;/style&gt;&lt;/DisplayText&gt;&lt;record&gt;&lt;rec-number&gt;10&lt;/rec-number&gt;&lt;foreign-keys&gt;&lt;key app="EN" db-id="ae259rtzjardpweaps0vv054d5r2sapzzfpw" timestamp="1643125256"&gt;10&lt;/key&gt;&lt;/foreign-keys&gt;&lt;ref-type name="中文期刊"&gt;17&lt;/ref-type&gt;&lt;contributors&gt;&lt;authors&gt;&lt;author&gt;Hogg&lt;/author&gt;&lt;author&gt;R. %J Journal of Clinical Oncology&lt;/author&gt;&lt;/authors&gt;&lt;/contributors&gt;&lt;titles&gt;&lt;title&gt;Biology of Epithelial Ovarian Cancer: Implications for Screening Women at High Genetic Risk&lt;/title&gt;&lt;/titles&gt;&lt;pages&gt;1315-1327&lt;/pages&gt;&lt;volume&gt;22&lt;/volume&gt;&lt;number&gt;7&lt;/number&gt;&lt;dates&gt;&lt;year&gt;2004&lt;/year&gt;&lt;/dates&gt;&lt;urls&gt;&lt;/urls&gt;&lt;/record&gt;&lt;/Cite&gt;&lt;/EndNote&gt;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[8]</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。尽管对绝经后妇女进行多模式筛查的晚期获益仍有待评估中，但有证据表明，隐匿性原发肿瘤在出现临床表现之前，在原位、I期或II期癌症中需要4年以上的时间，在III-IV期癌症中需要大约1年的时间</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&lt;EndNote&gt;&lt;Cite&gt;&lt;Author&gt;Brown&lt;/Author&gt;&lt;Year&gt;2009&lt;/Year&gt;&lt;RecNum&gt;11&lt;/RecNum&gt;&lt;DisplayText&gt;&lt;style face="superscript"&gt;[9]&lt;/style&gt;&lt;/DisplayText&gt;&lt;record&gt;&lt;rec-number&gt;11&lt;/rec-number&gt;&lt;foreign-keys&gt;&lt;key app="EN" db-id="ae259rtzjardpweaps0vv054d5r2sapzzfpw" timestamp="1643125292"&gt;11&lt;/key&gt;&lt;/foreign-keys&gt;&lt;ref-type name="中文期刊"&gt;17&lt;/ref-type&gt;&lt;contributors&gt;&lt;authors&gt;&lt;author&gt;Brown, P. O.&lt;/author&gt;&lt;author&gt;Palmer, C. %J PLoS Medicine&lt;/author&gt;&lt;/authors&gt;&lt;/contributors&gt;&lt;titles&gt;&lt;title&gt;The Preclinical Natural History of Serous Ovarian Cancer: Defining the Target for Early Detection&lt;/title&gt;&lt;/titles&gt;&lt;pages&gt;e1000114&lt;/pages&gt;&lt;volume&gt;6&lt;/volume&gt;&lt;number&gt;7&lt;/number&gt;&lt;dates&gt;&lt;year&gt;2009&lt;/year&gt;&lt;/dates&gt;&lt;urls&gt;&lt;/urls&gt;&lt;/record&gt;&lt;/Cite&gt;&lt;/EndNote&gt;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[9]</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，而且一般来说，如果在症状前阶段的治疗比症状出现后更有效，因此早期疾病筛查是最有用的。建议对于那些家族性卵巢癌风险高的未受影响的个体，可以在一定年龄进行输卵管卵巢切除术以降低风险</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&lt;EndNote&gt;&lt;Cite&gt;&lt;Author&gt;Skates&lt;/Author&gt;&lt;Year&gt;2017&lt;/Year&gt;&lt;RecNum&gt;6&lt;/RecNum&gt;&lt;DisplayText&gt;&lt;style face="superscript"&gt;[10]&lt;/style&gt;&lt;/DisplayText&gt;&lt;record&gt;&lt;rec-number&gt;6&lt;/rec-number&gt;&lt;foreign-keys&gt;&lt;key app="EN" db-id="ae259rtzjardpweaps0vv054d5r2sapzzfpw" timestamp="1643121911"&gt;6&lt;/key&gt;&lt;/foreign-keys&gt;&lt;ref-type name="中文期刊"&gt;17&lt;/ref-type&gt;&lt;contributors&gt;&lt;authors&gt;&lt;author&gt;Skates, Steven J.&lt;/author&gt;&lt;author&gt;Greene, Mark H.&lt;/author&gt;&lt;author&gt;Buys, Saundra S.&lt;/author&gt;&lt;author&gt;Mai, Phuong L.&lt;/author&gt;&lt;author&gt;Brown, Powel&lt;/author&gt;&lt;author&gt;Piedmonte, Marion&lt;/author&gt;&lt;author&gt;Rodriguez, Gustavo&lt;/author&gt;&lt;author&gt;Schorge, John O.&lt;/author&gt;&lt;author&gt;Sherman, Mark&lt;/author&gt;&lt;author&gt;Daly, Mary B. %J Clinical Cancer Research&lt;/author&gt;&lt;/authors&gt;&lt;/contributors&gt;&lt;titles&gt;&lt;title&gt;Early Detection of Ovarian Cancer using the Risk of Ovarian Cancer Algorithm with Frequent CA125 Testing in Women at Increased Familial Risk – Combined Results from Two Screening Trials&lt;/title&gt;&lt;/titles&gt;&lt;dates&gt;&lt;year&gt;2017&lt;/year&gt;&lt;/dates&gt;&lt;urls&gt;&lt;/urls&gt;&lt;/record&gt;&lt;/Cite&gt;&lt;/EndNote&gt;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[10]</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。日常工作中应重视一些卵巢癌相关的临床症状，如腹胀、盆腔或腹部疼痛、腹围增加、易饱感、尿频或尿急，特别是这些症状为新发，或经常出现，应及时进一步检查</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&lt;EndNote&gt;&lt;Cite&gt;&lt;Year&gt;2021&lt;/Year&gt;&lt;RecNum&gt;7&lt;/RecNum&gt;&lt;DisplayText&gt;&lt;style face="superscript"&gt;[11]&lt;/style&gt;&lt;/DisplayText&gt;&lt;record&gt;&lt;rec-number&gt;7&lt;/rec-number&gt;&lt;foreign-keys&gt;&lt;key app="EN" db-id="ae259rtzjardpweaps0vv054d5r2sapzzfpw" timestamp="1643122212"&gt;7&lt;/key&gt;&lt;/foreign-keys&gt;&lt;ref-type name="中文期刊"&gt;17&lt;/ref-type&gt;&lt;contributors&gt;&lt;/contributors&gt;&lt;titles&gt;&lt;title&gt;卵巢恶性肿瘤诊断与治疗指南(2021年版) %J 中国癌症杂志 2021年31卷6期 490-500页 ISTIC PKU CSCD CA&lt;/title&gt;&lt;/titles&gt;&lt;dates&gt;&lt;year&gt;2021&lt;/year&gt;&lt;/dates&gt;&lt;urls&gt;&lt;/urls&gt;&lt;/record&gt;&lt;/Cite&gt;&lt;/EndNote&gt;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[11]</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目前，主张对上皮性卵巢癌患者进行遗传致病基因突变的筛查，特别是对所有非黏液性上皮性卵巢癌患者进行BRCA1/2胚系突变的检测。对于检出胚系突变的卵巢癌个体，需进一步对其家系进行“逐级检测”（cascade testing），以期发现高危个体，从而有针对性地开展肿瘤预防与监测工作，降低个体发病与死亡风险及群体发病率。并推荐在遗传基因检测前后进行专业的遗传学咨询。目前已知胚系突变会增加上皮性卵巢癌发病风险的基因有：BRCA1/2、RAD51C、RAD51D、BRIP1、PALB2、ATM以及Lynch综合征相关基因（MLH1、MSH2、MSH6、PMS2、EPCAM）； STK11胚系突变主要与卵巢环小管性索瘤发病相关</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&lt;EndNote&gt;&lt;Cite&gt;&lt;Year&gt;2021&lt;/Year&gt;&lt;RecNum&gt;7&lt;/RecNum&gt;&lt;DisplayText&gt;&lt;style face="superscript"&gt;[11]&lt;/style&gt;&lt;/DisplayText&gt;&lt;record&gt;&lt;rec-number&gt;7&lt;/rec-number&gt;&lt;foreign-keys&gt;&lt;key app="EN" db-id="ae259rtzjardpweaps0vv054d5r2sapzzfpw" timestamp="1643122212"&gt;7&lt;/key&gt;&lt;/foreign-keys&gt;&lt;ref-type name="中文期刊"&gt;17&lt;/ref-type&gt;&lt;contributors&gt;&lt;/contributors&gt;&lt;titles&gt;&lt;title&gt;卵巢恶性肿瘤诊断与治疗指南(2021年版) %J 中国癌症杂志 2021年31卷6期 490-500页 ISTIC PKU CSCD CA&lt;/title&gt;&lt;/titles&gt;&lt;dates&gt;&lt;year&gt;2021&lt;/year&gt;&lt;/dates&gt;&lt;urls&gt;&lt;/urls&gt;&lt;/record&gt;&lt;/Cite&gt;&lt;/EndNote&gt;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[11]</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w:t>
      </w:r>
    </w:p>
    <w:p>
      <w:pPr>
        <w:pStyle w:val="2"/>
        <w:keepNext w:val="0"/>
        <w:keepLines w:val="0"/>
        <w:pageBreakBefore w:val="0"/>
        <w:widowControl/>
        <w:kinsoku/>
        <w:wordWrap/>
        <w:overflowPunct/>
        <w:topLinePunct w:val="0"/>
        <w:autoSpaceDE/>
        <w:autoSpaceDN/>
        <w:bidi w:val="0"/>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
          <w:bCs/>
          <w:color w:val="000000" w:themeColor="text1"/>
          <w:spacing w:val="15"/>
          <w:sz w:val="32"/>
          <w:szCs w:val="32"/>
        </w:rPr>
      </w:pPr>
      <w:r>
        <w:rPr>
          <w:rFonts w:hint="eastAsia" w:ascii="仿宋_GB2312" w:hAnsi="仿宋_GB2312" w:eastAsia="仿宋_GB2312" w:cs="仿宋_GB2312"/>
          <w:b/>
          <w:bCs/>
          <w:color w:val="000000" w:themeColor="text1"/>
          <w:spacing w:val="15"/>
          <w:sz w:val="32"/>
          <w:szCs w:val="32"/>
        </w:rPr>
        <w:t>4.术前诊断原则</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首先是详细的病史采集（特别注意应进行家族遗传史的询问）和全面的体格检查（包括妇科检查）。其次是影像学方面的检查：包括CT、MRI和超声，必要时可行PET/CT检查。</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48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超声作为一种无创的检查方式，凭借着其简便、易操作、辐射弱等优势，在临床上常被认为是评估附件病变的标准一线影像学检查方式</w:t>
      </w:r>
      <w:r>
        <w:rPr>
          <w:rFonts w:hint="eastAsia" w:ascii="仿宋_GB2312" w:hAnsi="仿宋_GB2312" w:eastAsia="仿宋_GB2312" w:cs="仿宋_GB2312"/>
          <w:color w:val="000000" w:themeColor="text1"/>
          <w:sz w:val="32"/>
          <w:szCs w:val="32"/>
        </w:rPr>
        <w:fldChar w:fldCharType="begin">
          <w:fldData xml:space="preserve">PEVuZE5vdGU+PENpdGU+PEF1dGhvcj5LYWlqc2VyPC9BdXRob3I+PFllYXI+MjAxNDwvWWVhcj48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</w:fldData>
        </w:fldChar>
      </w:r>
      <w:r>
        <w:rPr>
          <w:rFonts w:hint="eastAsia" w:ascii="仿宋_GB2312" w:hAnsi="仿宋_GB2312" w:eastAsia="仿宋_GB2312" w:cs="仿宋_GB2312"/>
          <w:color w:val="000000" w:themeColor="text1"/>
          <w:sz w:val="32"/>
          <w:szCs w:val="32"/>
        </w:rPr>
        <w:instrText xml:space="preserve"> ADDIN EN.CITE </w:instrText>
      </w:r>
      <w:r>
        <w:rPr>
          <w:rFonts w:hint="eastAsia" w:ascii="仿宋_GB2312" w:hAnsi="仿宋_GB2312" w:eastAsia="仿宋_GB2312" w:cs="仿宋_GB2312"/>
          <w:color w:val="000000" w:themeColor="text1"/>
          <w:sz w:val="32"/>
          <w:szCs w:val="32"/>
        </w:rPr>
        <w:fldChar w:fldCharType="begin">
          <w:fldData xml:space="preserve">PEVuZE5vdGU+PENpdGU+PEF1dGhvcj5LYWlqc2VyPC9BdXRob3I+PFllYXI+MjAxNDwvWWVhcj48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</w:fldData>
        </w:fldChar>
      </w:r>
      <w:r>
        <w:rPr>
          <w:rFonts w:hint="eastAsia" w:ascii="仿宋_GB2312" w:hAnsi="仿宋_GB2312" w:eastAsia="仿宋_GB2312" w:cs="仿宋_GB2312"/>
          <w:color w:val="000000" w:themeColor="text1"/>
          <w:sz w:val="32"/>
          <w:szCs w:val="32"/>
        </w:rPr>
        <w:instrText xml:space="preserve"> ADDIN EN.CITE.DATA </w:instrText>
      </w:r>
      <w:r>
        <w:rPr>
          <w:rFonts w:hint="eastAsia"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fldChar w:fldCharType="separate"/>
      </w:r>
      <w:r>
        <w:rPr>
          <w:rFonts w:hint="eastAsia" w:ascii="仿宋_GB2312" w:hAnsi="仿宋_GB2312" w:eastAsia="仿宋_GB2312" w:cs="仿宋_GB2312"/>
          <w:color w:val="000000" w:themeColor="text1"/>
          <w:sz w:val="32"/>
          <w:szCs w:val="32"/>
          <w:vertAlign w:val="superscript"/>
        </w:rPr>
        <w:t>[12]</w:t>
      </w:r>
      <w:r>
        <w:rPr>
          <w:rFonts w:hint="eastAsia"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t>。但其在鉴别附件肿瘤良、恶性方面的诊断准确性已被证明与操作者的专业知识有关</w:t>
      </w:r>
      <w:r>
        <w:rPr>
          <w:rFonts w:hint="eastAsia" w:ascii="仿宋_GB2312" w:hAnsi="仿宋_GB2312" w:eastAsia="仿宋_GB2312" w:cs="仿宋_GB2312"/>
          <w:color w:val="000000" w:themeColor="text1"/>
          <w:sz w:val="32"/>
          <w:szCs w:val="32"/>
        </w:rPr>
        <w:fldChar w:fldCharType="begin"/>
      </w:r>
      <w:r>
        <w:rPr>
          <w:rFonts w:hint="eastAsia" w:ascii="仿宋_GB2312" w:hAnsi="仿宋_GB2312" w:eastAsia="仿宋_GB2312" w:cs="仿宋_GB2312"/>
          <w:color w:val="000000" w:themeColor="text1"/>
          <w:sz w:val="32"/>
          <w:szCs w:val="32"/>
        </w:rPr>
        <w:instrText xml:space="preserve"> ADDIN EN.CITE &lt;EndNote&gt;&lt;Cite&gt;&lt;Author&gt;Timmerman&lt;/Author&gt;&lt;Year&gt;1999&lt;/Year&gt;&lt;RecNum&gt;13&lt;/RecNum&gt;&lt;DisplayText&gt;&lt;style face="superscript"&gt;[13]&lt;/style&gt;&lt;/DisplayText&gt;&lt;record&gt;&lt;rec-number&gt;13&lt;/rec-number&gt;&lt;foreign-keys&gt;&lt;key app="EN" db-id="ae259rtzjardpweaps0vv054d5r2sapzzfpw" timestamp="1643295470"&gt;13&lt;/key&gt;&lt;/foreign-keys&gt;&lt;ref-type name="中文期刊"&gt;17&lt;/ref-type&gt;&lt;contributors&gt;&lt;authors&gt;&lt;author&gt;Timmerman, D.&lt;/author&gt;&lt;author&gt;Schwrzler, P.&lt;/author&gt;&lt;author&gt;Collins, W. P.&lt;/author&gt;&lt;author&gt;Claerhout, F.&lt;/author&gt;&lt;author&gt;Coenen, M.&lt;/author&gt;&lt;author&gt;Amant, F.&lt;/author&gt;&lt;author&gt;Vergote, I.&lt;/author&gt;&lt;author&gt;Bourne, T. H. %J Ultrasound in Obstetrics&lt;/author&gt;&lt;author&gt;Gynecology&lt;/author&gt;&lt;/authors&gt;&lt;/contributors&gt;&lt;titles&gt;&lt;title&gt;Subjective assessment of adnexal masses with the use of ultrasonography: an analysis of interobserver variability and experience&lt;/title&gt;&lt;/titles&gt;&lt;volume&gt;13&lt;/volume&gt;&lt;number&gt;1&lt;/number&gt;&lt;dates&gt;&lt;year&gt;1999&lt;/year&gt;&lt;/dates&gt;&lt;urls&gt;&lt;/urls&gt;&lt;/record&gt;&lt;/Cite&gt;&lt;/EndNote&gt;</w:instrText>
      </w:r>
      <w:r>
        <w:rPr>
          <w:rFonts w:hint="eastAsia" w:ascii="仿宋_GB2312" w:hAnsi="仿宋_GB2312" w:eastAsia="仿宋_GB2312" w:cs="仿宋_GB2312"/>
          <w:color w:val="000000" w:themeColor="text1"/>
          <w:sz w:val="32"/>
          <w:szCs w:val="32"/>
        </w:rPr>
        <w:fldChar w:fldCharType="separate"/>
      </w:r>
      <w:r>
        <w:rPr>
          <w:rFonts w:hint="eastAsia" w:ascii="仿宋_GB2312" w:hAnsi="仿宋_GB2312" w:eastAsia="仿宋_GB2312" w:cs="仿宋_GB2312"/>
          <w:color w:val="000000" w:themeColor="text1"/>
          <w:sz w:val="32"/>
          <w:szCs w:val="32"/>
          <w:vertAlign w:val="superscript"/>
        </w:rPr>
        <w:t>[13]</w:t>
      </w:r>
      <w:r>
        <w:rPr>
          <w:rFonts w:hint="eastAsia"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t>，超声专家的诊断准确率公认为最高。而日常临床工作中，由于超声专家资源有限，首诊卵巢肿瘤患者的医师往往是非专家级别的年轻超声医师，因此为尽可能提高诊断，许多诊断模型包括有国际卵巢肿瘤分析小组(International Ovarian Of Tumor Analysis ，IOTA)简单规则(Simple Rules，SR)、妇科影像报告和数据系统（Gynecologic imaging Reporting And Data System ，GI-RADS）、</w:t>
      </w:r>
      <w:r>
        <w:rPr>
          <w:rFonts w:hint="eastAsia" w:ascii="仿宋_GB2312" w:hAnsi="仿宋_GB2312" w:eastAsia="仿宋_GB2312" w:cs="仿宋_GB2312"/>
          <w:color w:val="000000" w:themeColor="text1"/>
          <w:spacing w:val="15"/>
          <w:sz w:val="32"/>
          <w:szCs w:val="32"/>
        </w:rPr>
        <w:t>恶性肿瘤风险指数（Risk Of Malignancy Index，RMI）</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pacing w:val="15"/>
          <w:sz w:val="32"/>
          <w:szCs w:val="32"/>
        </w:rPr>
        <w:t>恶性肿瘤风险模型（Risk Of Malignancy Algorithm， ROMA）、评估不同附件肿瘤模型（Assessment of Different NEoplasias in the adneXa，ADNEX）和</w:t>
      </w:r>
      <w:r>
        <w:rPr>
          <w:rFonts w:hint="eastAsia" w:ascii="仿宋_GB2312" w:hAnsi="仿宋_GB2312" w:eastAsia="仿宋_GB2312" w:cs="仿宋_GB2312"/>
          <w:color w:val="000000" w:themeColor="text1"/>
          <w:sz w:val="32"/>
          <w:szCs w:val="32"/>
        </w:rPr>
        <w:t>卵巢附件报告和数据系统（Ovarian-Adnexal Reporting and Data System ，O-RADS）等被相继推出。</w:t>
      </w:r>
      <w:r>
        <w:rPr>
          <w:rFonts w:hint="eastAsia" w:ascii="仿宋_GB2312" w:hAnsi="仿宋_GB2312" w:eastAsia="仿宋_GB2312" w:cs="仿宋_GB2312"/>
          <w:color w:val="000000" w:themeColor="text1"/>
          <w:spacing w:val="15"/>
          <w:sz w:val="32"/>
          <w:szCs w:val="32"/>
        </w:rPr>
        <w:t>其中IOTA SR</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&lt;EndNote&gt;&lt;Cite&gt;&lt;Author&gt;Tantipalakorn&lt;/Author&gt;&lt;Year&gt;2014&lt;/Year&gt;&lt;RecNum&gt;16&lt;/RecNum&gt;&lt;DisplayText&gt;&lt;style face="superscript"&gt;[14]&lt;/style&gt;&lt;/DisplayText&gt;&lt;record&gt;&lt;rec-number&gt;16&lt;/rec-number&gt;&lt;foreign-keys&gt;&lt;key app="EN" db-id="ae259rtzjardpweaps0vv054d5r2sapzzfpw" timestamp="1643440988"&gt;16&lt;/key&gt;&lt;key app="ENWeb" db-id=""&gt;0&lt;/key&gt;&lt;/foreign-keys&gt;&lt;ref-type name="中文期刊"&gt;17&lt;/ref-type&gt;&lt;contributors&gt;&lt;authors&gt;&lt;author&gt;Tantipalakorn, C.&lt;/author&gt;&lt;author&gt;Wanapirak, C.&lt;/author&gt;&lt;author&gt;Khunamornpong, S.&lt;/author&gt;&lt;author&gt;Sukpan, K.&lt;/author&gt;&lt;author&gt;Tongsong, T.&lt;/author&gt;&lt;/authors&gt;&lt;/contributors&gt;&lt;auth-address&gt;Department of Obstetrics and Gynecology, Chiang Mai University, Thailand E-mail : ttongson@mail.med.cmu.ac.th.&lt;/auth-address&gt;&lt;titles&gt;&lt;title&gt;IOTA simple rules in differentiating between benign and malignant ovarian tumors&lt;/title&gt;&lt;secondary-title&gt;Asian Pac J Cancer Prev&lt;/secondary-title&gt;&lt;/titles&gt;&lt;periodical&gt;&lt;full-title&gt;Asian Pac J Cancer Prev&lt;/full-title&gt;&lt;/periodical&gt;&lt;pages&gt;5123-6&lt;/pages&gt;&lt;volume&gt;15&lt;/volume&gt;&lt;number&gt;13&lt;/number&gt;&lt;edition&gt;2014/07/22&lt;/edition&gt;&lt;keywords&gt;&lt;keyword&gt;Adolescent&lt;/keyword&gt;&lt;keyword&gt;Adult&lt;/keyword&gt;&lt;keyword&gt;Aged&lt;/keyword&gt;&lt;keyword&gt;Aged, 80 and over&lt;/keyword&gt;&lt;keyword&gt;Diagnosis, Differential&lt;/keyword&gt;&lt;keyword&gt;Female&lt;/keyword&gt;&lt;keyword&gt;Humans&lt;/keyword&gt;&lt;keyword&gt;Middle Aged&lt;/keyword&gt;&lt;keyword&gt;Ovarian Neoplasms/*pathology&lt;/keyword&gt;&lt;keyword&gt;Ovary/*pathology&lt;/keyword&gt;&lt;keyword&gt;Sensitivity and Specificity&lt;/keyword&gt;&lt;keyword&gt;Young Adult&lt;/keyword&gt;&lt;/keywords&gt;&lt;dates&gt;&lt;year&gt;2014&lt;/year&gt;&lt;/dates&gt;&lt;isbn&gt;2476-762X (Electronic)&amp;#xD;1513-7368 (Linking)&lt;/isbn&gt;&lt;accession-num&gt;25040961&lt;/accession-num&gt;&lt;urls&gt;&lt;related-urls&gt;&lt;url&gt;https://www.ncbi.nlm.nih.gov/pubmed/25040961&lt;/url&gt;&lt;/related-urls&gt;&lt;/urls&gt;&lt;electronic-resource-num&gt;10.7314/apjcp.2014.15.13.5123&lt;/electronic-resource-num&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[14]</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于2008年提出，由10条规则组成，</w:t>
      </w:r>
      <w:r>
        <w:rPr>
          <w:rFonts w:hint="eastAsia" w:ascii="仿宋_GB2312" w:hAnsi="仿宋_GB2312" w:eastAsia="仿宋_GB2312" w:cs="仿宋_GB2312"/>
          <w:color w:val="000000" w:themeColor="text1"/>
          <w:sz w:val="32"/>
          <w:szCs w:val="32"/>
        </w:rPr>
        <w:t>包括了5个预测恶性肿瘤的M规则：(1)不规则实性肿瘤；(2)腹水；(3)至少4个乳头状结构；(4)最大直径≥100 mm的不规则多房囊实性肿瘤；(5)彩色多普勒超声血流信号极其丰富。以及5个提示良性肿瘤的B规则：(1)单房囊肿；(2)有实性成分，但实性成分最大直径&lt;7 mm；(3)伴声影；(4)光滑的最大直径＜100 mm的多房囊性肿瘤；(5)彩色多普勒超声无血流信号。当有一或多个良性特征，且无恶性特征时归类为</w:t>
      </w:r>
      <w:r>
        <w:rPr>
          <w:rFonts w:hint="eastAsia" w:ascii="仿宋_GB2312" w:hAnsi="仿宋_GB2312" w:eastAsia="仿宋_GB2312" w:cs="仿宋_GB2312"/>
          <w:bCs/>
          <w:color w:val="000000" w:themeColor="text1"/>
          <w:sz w:val="32"/>
          <w:szCs w:val="32"/>
        </w:rPr>
        <w:t>良性肿瘤</w:t>
      </w:r>
      <w:r>
        <w:rPr>
          <w:rFonts w:hint="eastAsia" w:ascii="仿宋_GB2312" w:hAnsi="仿宋_GB2312" w:eastAsia="仿宋_GB2312" w:cs="仿宋_GB2312"/>
          <w:color w:val="000000" w:themeColor="text1"/>
          <w:sz w:val="32"/>
          <w:szCs w:val="32"/>
        </w:rPr>
        <w:t>；有一或多个恶性特征，且无良性特征时则归类为</w:t>
      </w:r>
      <w:r>
        <w:rPr>
          <w:rFonts w:hint="eastAsia" w:ascii="仿宋_GB2312" w:hAnsi="仿宋_GB2312" w:eastAsia="仿宋_GB2312" w:cs="仿宋_GB2312"/>
          <w:bCs/>
          <w:color w:val="000000" w:themeColor="text1"/>
          <w:sz w:val="32"/>
          <w:szCs w:val="32"/>
        </w:rPr>
        <w:t>恶性肿瘤</w:t>
      </w:r>
      <w:r>
        <w:rPr>
          <w:rFonts w:hint="eastAsia" w:ascii="仿宋_GB2312" w:hAnsi="仿宋_GB2312" w:eastAsia="仿宋_GB2312" w:cs="仿宋_GB2312"/>
          <w:color w:val="000000" w:themeColor="text1"/>
          <w:sz w:val="32"/>
          <w:szCs w:val="32"/>
        </w:rPr>
        <w:t>；良、恶性特征均显示或均不显示分类为</w:t>
      </w:r>
      <w:r>
        <w:rPr>
          <w:rFonts w:hint="eastAsia" w:ascii="仿宋_GB2312" w:hAnsi="仿宋_GB2312" w:eastAsia="仿宋_GB2312" w:cs="仿宋_GB2312"/>
          <w:bCs/>
          <w:color w:val="000000" w:themeColor="text1"/>
          <w:sz w:val="32"/>
          <w:szCs w:val="32"/>
        </w:rPr>
        <w:t>不确定肿瘤</w:t>
      </w:r>
      <w:r>
        <w:rPr>
          <w:rFonts w:hint="eastAsia" w:ascii="仿宋_GB2312" w:hAnsi="仿宋_GB2312" w:eastAsia="仿宋_GB2312" w:cs="仿宋_GB2312"/>
          <w:color w:val="000000" w:themeColor="text1"/>
          <w:sz w:val="32"/>
          <w:szCs w:val="32"/>
        </w:rPr>
        <w:t>。</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48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Cs/>
          <w:color w:val="000000" w:themeColor="text1"/>
          <w:sz w:val="32"/>
          <w:szCs w:val="32"/>
        </w:rPr>
        <w:t>GI-RADS</w:t>
      </w:r>
      <w:r>
        <w:rPr>
          <w:rFonts w:hint="eastAsia" w:ascii="仿宋_GB2312" w:hAnsi="仿宋_GB2312" w:eastAsia="仿宋_GB2312" w:cs="仿宋_GB2312"/>
          <w:bCs/>
          <w:color w:val="000000" w:themeColor="text1"/>
          <w:sz w:val="32"/>
          <w:szCs w:val="32"/>
        </w:rPr>
        <w:fldChar w:fldCharType="begin"/>
      </w:r>
      <w:r>
        <w:rPr>
          <w:rFonts w:hint="eastAsia" w:ascii="仿宋_GB2312" w:hAnsi="仿宋_GB2312" w:eastAsia="仿宋_GB2312" w:cs="仿宋_GB2312"/>
          <w:bCs/>
          <w:color w:val="000000" w:themeColor="text1"/>
          <w:sz w:val="32"/>
          <w:szCs w:val="32"/>
        </w:rPr>
        <w:instrText xml:space="preserve"> ADDIN EN.CITE &lt;EndNote&gt;&lt;Cite&gt;&lt;Author&gt;Man&lt;/Author&gt;&lt;Year&gt;2015&lt;/Year&gt;&lt;RecNum&gt;22&lt;/RecNum&gt;&lt;DisplayText&gt;&lt;style face="superscript"&gt;[15]&lt;/style&gt;&lt;/DisplayText&gt;&lt;record&gt;&lt;rec-number&gt;22&lt;/rec-number&gt;&lt;foreign-keys&gt;&lt;key app="EN" db-id="ae259rtzjardpweaps0vv054d5r2sapzzfpw" timestamp="1643441455"&gt;22&lt;/key&gt;&lt;/foreign-keys&gt;&lt;ref-type name="中文期刊"&gt;17&lt;/ref-type&gt;&lt;contributors&gt;&lt;authors&gt;&lt;author&gt;Man, YN&lt;/author&gt;&lt;author&gt;Wang, YN&lt;/author&gt;&lt;author&gt;Hao, J&lt;/author&gt;&lt;author&gt;Liu, X&lt;/author&gt;&lt;author&gt;Liu, C&lt;/author&gt;&lt;author&gt;Zhu, C&lt;/author&gt;&lt;author&gt;Wu, XZ %J International journal of gynecological cancer : official journal of the International Gynecological Cancer Society&lt;/author&gt;&lt;/authors&gt;&lt;/contributors&gt;&lt;titles&gt;&lt;title&gt;Pretreatment plasma D-dimer, fibrinogen, and platelet levels significantly impact prognosis in patients with epithelial ovarian cancer independently of venous thromboembolism&lt;/title&gt;&lt;/titles&gt;&lt;pages&gt;24-32&lt;/pages&gt;&lt;volume&gt;25&lt;/volume&gt;&lt;number&gt;1&lt;/number&gt;&lt;dates&gt;&lt;year&gt;2015&lt;/year&gt;&lt;/dates&gt;&lt;accession-num&gt;25347092&lt;/accession-num&gt;&lt;label&gt;2.095&lt;/label&gt;&lt;urls&gt;&lt;/urls&gt;&lt;electronic-resource-num&gt;10.1097/igc.0000000000000303&lt;/electronic-resource-num&gt;&lt;/record&gt;&lt;/Cite&gt;&lt;/EndNote&gt;</w:instrText>
      </w:r>
      <w:r>
        <w:rPr>
          <w:rFonts w:hint="eastAsia" w:ascii="仿宋_GB2312" w:hAnsi="仿宋_GB2312" w:eastAsia="仿宋_GB2312" w:cs="仿宋_GB2312"/>
          <w:bCs/>
          <w:color w:val="000000" w:themeColor="text1"/>
          <w:sz w:val="32"/>
          <w:szCs w:val="32"/>
        </w:rPr>
        <w:fldChar w:fldCharType="separate"/>
      </w:r>
      <w:r>
        <w:rPr>
          <w:rFonts w:hint="eastAsia" w:ascii="仿宋_GB2312" w:hAnsi="仿宋_GB2312" w:eastAsia="仿宋_GB2312" w:cs="仿宋_GB2312"/>
          <w:bCs/>
          <w:color w:val="000000" w:themeColor="text1"/>
          <w:sz w:val="32"/>
          <w:szCs w:val="32"/>
          <w:vertAlign w:val="superscript"/>
        </w:rPr>
        <w:t>[15]</w:t>
      </w:r>
      <w:r>
        <w:rPr>
          <w:rFonts w:hint="eastAsia" w:ascii="仿宋_GB2312" w:hAnsi="仿宋_GB2312" w:eastAsia="仿宋_GB2312" w:cs="仿宋_GB2312"/>
          <w:bCs/>
          <w:color w:val="000000" w:themeColor="text1"/>
          <w:sz w:val="32"/>
          <w:szCs w:val="32"/>
        </w:rPr>
        <w:fldChar w:fldCharType="end"/>
      </w:r>
      <w:r>
        <w:rPr>
          <w:rFonts w:hint="eastAsia" w:ascii="仿宋_GB2312" w:hAnsi="仿宋_GB2312" w:eastAsia="仿宋_GB2312" w:cs="仿宋_GB2312"/>
          <w:bCs/>
          <w:color w:val="000000" w:themeColor="text1"/>
          <w:sz w:val="32"/>
          <w:szCs w:val="32"/>
        </w:rPr>
        <w:t>根据有无恶性特征（≥7mm乳头状突起、分隔/壁厚≥3mm、中心性血流、血流阻力指数（RI）&lt;0.50、实性成分≥50%以及合并腹水）及恶性特征的数目将卵巢肿瘤分为5类，分类标准如下：GI-RADS 1，确定良性。卵巢正常，未见附件肿块；GI-RADS 2，良性可能性大。这一类别包括被认为是功能性起源的附件病变，如卵泡、黄体和出血性囊肿；GI-RADS 3，可能良性。这一类包括被认为是良性的附件肿瘤性病变，如子宫内膜样囊肿、畸胎瘤、单纯性囊肿、输卵管积水、卵巢旁囊肿、腹膜假性囊肿、带蒂肌瘤，以及提示盆腔炎的表现；GI-RADS4，可疑恶性。这一类别为1-3类中不包括的附件病变，并且有1或2个提示恶性肿瘤可能的恶性征象；</w:t>
      </w:r>
      <w:r>
        <w:rPr>
          <w:rFonts w:hint="eastAsia" w:ascii="仿宋_GB2312" w:hAnsi="仿宋_GB2312" w:eastAsia="仿宋_GB2312" w:cs="仿宋_GB2312"/>
          <w:color w:val="000000" w:themeColor="text1"/>
          <w:sz w:val="32"/>
          <w:szCs w:val="32"/>
        </w:rPr>
        <w:t>GI-RADS 5，恶性可能性大。这一类别的附件肿块含3个或3个以上恶性征象。</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RMI</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&lt;EndNote&gt;&lt;Cite&gt;&lt;RecNum&gt;18&lt;/RecNum&gt;&lt;DisplayText&gt;&lt;style face="superscript"&gt;[16]&lt;/style&gt;&lt;/DisplayText&gt;&lt;record&gt;&lt;rec-number&gt;18&lt;/rec-number&gt;&lt;foreign-keys&gt;&lt;key app="EN" db-id="ae259rtzjardpweaps0vv054d5r2sapzzfpw" timestamp="1643441261"&gt;18&lt;/key&gt;&lt;key app="ENWeb" db-id=""&gt;0&lt;/key&gt;&lt;/foreign-keys&gt;&lt;ref-type name="中文期刊"&gt;17&lt;/ref-type&gt;&lt;contributors&gt;&lt;secondary-authors&gt;&lt;author&gt;1. JACOBS, D. ORAM, J. FAIRBANKS, J. TURNER, C. FROS&amp;apos;I&amp;apos;, J. (3, GRUDZINSKAS&lt;/author&gt;&lt;/secondary-authors&gt;&lt;/contributors&gt;&lt;titles&gt;&lt;title&gt;A risk of malignancy index incorporating CA 125, ultrasound and menopausal status for the accurate preoperative diagnosis of ovarian cancer&lt;/title&gt;&lt;/titles&gt;&lt;dates&gt;&lt;/dates&gt;&lt;urls&gt;&lt;/urls&gt;&lt;/record&gt;&lt;/Cite&gt;&lt;/EndNote&gt;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[16]</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模型结合了预测卵巢肿瘤恶性风险较重要的三个指标，即CA125水平、绝经状态（M）和超声检查结果（U）。计算公式为</w:t>
      </w:r>
      <w:r>
        <w:rPr>
          <w:rFonts w:hint="eastAsia" w:ascii="仿宋_GB2312" w:hAnsi="仿宋_GB2312" w:eastAsia="仿宋_GB2312" w:cs="仿宋_GB2312"/>
          <w:bCs/>
          <w:color w:val="000000" w:themeColor="text1"/>
          <w:spacing w:val="15"/>
          <w:sz w:val="32"/>
          <w:szCs w:val="32"/>
        </w:rPr>
        <w:t>RMI= 血清CA125值×M×U</w:t>
      </w:r>
      <w:r>
        <w:rPr>
          <w:rFonts w:hint="eastAsia" w:ascii="仿宋_GB2312" w:hAnsi="仿宋_GB2312" w:eastAsia="仿宋_GB2312" w:cs="仿宋_GB2312"/>
          <w:b/>
          <w:bCs/>
          <w:color w:val="000000" w:themeColor="text1"/>
          <w:spacing w:val="15"/>
          <w:sz w:val="32"/>
          <w:szCs w:val="32"/>
        </w:rPr>
        <w:t>。</w:t>
      </w:r>
      <w:r>
        <w:rPr>
          <w:rFonts w:hint="eastAsia" w:ascii="仿宋_GB2312" w:hAnsi="仿宋_GB2312" w:eastAsia="仿宋_GB2312" w:cs="仿宋_GB2312"/>
          <w:color w:val="000000" w:themeColor="text1"/>
          <w:spacing w:val="15"/>
          <w:sz w:val="32"/>
          <w:szCs w:val="32"/>
        </w:rPr>
        <w:t>绝经状态记分： 绝经前M=1或绝经后M=3。超声结果赋值：多房囊肿、有实性成分、转移、腹水及双侧病变每项均记1分。超声评分0分， U=0； 超声评分1分， U=1； 超声评分2～5分， U=3。以RMI≥200作为判断恶性肿瘤的临界值。ROMA则结合了患者的绝经状态、血清CA125及HE4水平以预测盆腔肿块患者卵巢癌发生风险，计算公式: 绝经前预测指数(PI)=-12.0+2.38×LN(HE4)+0.0626×LN(CA125)；绝经后预测指数(PI)=-8.09+1.04×LN(HE4)+0.732×LN(CA125)。ROMA(%)=［exp(PI)×100］/［1+exp(PI)］，并以绝经前≥13.1%或绝经后≥27.7%提示卵巢癌高风险。</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pacing w:val="15"/>
          <w:sz w:val="32"/>
          <w:szCs w:val="32"/>
        </w:rPr>
        <w:t>ADNEX</w:t>
      </w:r>
      <w:r>
        <w:rPr>
          <w:rFonts w:hint="eastAsia" w:ascii="仿宋_GB2312" w:hAnsi="仿宋_GB2312" w:eastAsia="仿宋_GB2312" w:cs="仿宋_GB2312"/>
          <w:color w:val="000000" w:themeColor="text1"/>
          <w:sz w:val="32"/>
          <w:szCs w:val="32"/>
        </w:rPr>
        <w:t>模型</w:t>
      </w:r>
      <w:r>
        <w:rPr>
          <w:rFonts w:hint="eastAsia" w:ascii="仿宋_GB2312" w:hAnsi="仿宋_GB2312" w:eastAsia="仿宋_GB2312" w:cs="仿宋_GB2312"/>
          <w:color w:val="000000" w:themeColor="text1"/>
          <w:sz w:val="32"/>
          <w:szCs w:val="32"/>
        </w:rPr>
        <w:fldChar w:fldCharType="begin"/>
      </w:r>
      <w:r>
        <w:rPr>
          <w:rFonts w:hint="eastAsia" w:ascii="仿宋_GB2312" w:hAnsi="仿宋_GB2312" w:eastAsia="仿宋_GB2312" w:cs="仿宋_GB2312"/>
          <w:color w:val="000000" w:themeColor="text1"/>
          <w:sz w:val="32"/>
          <w:szCs w:val="32"/>
        </w:rPr>
        <w:instrText xml:space="preserve"> ADDIN EN.CITE &lt;EndNote&gt;&lt;Cite&gt;&lt;Author&gt;Chen&lt;/Author&gt;&lt;Year&gt;2019&lt;/Year&gt;&lt;RecNum&gt;21&lt;/RecNum&gt;&lt;DisplayText&gt;&lt;style face="superscript"&gt;[17]&lt;/style&gt;&lt;/DisplayText&gt;&lt;record&gt;&lt;rec-number&gt;21&lt;/rec-number&gt;&lt;foreign-keys&gt;&lt;key app="EN" db-id="ae259rtzjardpweaps0vv054d5r2sapzzfpw" timestamp="1643441439"&gt;21&lt;/key&gt;&lt;/foreign-keys&gt;&lt;ref-type name="中文期刊"&gt;17&lt;/ref-type&gt;&lt;contributors&gt;&lt;authors&gt;&lt;author&gt;Chen, L&lt;/author&gt;&lt;author&gt;Wang, X&lt;/author&gt;&lt;author&gt;Shu, J&lt;/author&gt;&lt;author&gt;Xu, S&lt;/author&gt;&lt;author&gt;Wu, Q&lt;/author&gt;&lt;author&gt;Yu, Y %J International journal of gynaecology&lt;/author&gt;&lt;author&gt;obstetrics: the official organ of the International Federation of Gynaecology&lt;/author&gt;&lt;author&gt;Obstetrics&lt;/author&gt;&lt;/authors&gt;&lt;/contributors&gt;&lt;titles&gt;&lt;title&gt;Diagnostic value of serum D-dimer, CA125, and neutrophil-to-lymphocyte ratio in differentiating ovarian cancer and endometriosis&lt;/title&gt;&lt;/titles&gt;&lt;pages&gt;212-218&lt;/pages&gt;&lt;volume&gt;147&lt;/volume&gt;&lt;number&gt;2&lt;/number&gt;&lt;dates&gt;&lt;year&gt;2019&lt;/year&gt;&lt;/dates&gt;&lt;accession-num&gt;31469423&lt;/accession-num&gt;&lt;label&gt;2.216&lt;/label&gt;&lt;urls&gt;&lt;/urls&gt;&lt;electronic-resource-num&gt;10.1002/ijgo.12949&lt;/electronic-resource-num&gt;&lt;/record&gt;&lt;/Cite&gt;&lt;/EndNote&gt;</w:instrText>
      </w:r>
      <w:r>
        <w:rPr>
          <w:rFonts w:hint="eastAsia" w:ascii="仿宋_GB2312" w:hAnsi="仿宋_GB2312" w:eastAsia="仿宋_GB2312" w:cs="仿宋_GB2312"/>
          <w:color w:val="000000" w:themeColor="text1"/>
          <w:sz w:val="32"/>
          <w:szCs w:val="32"/>
        </w:rPr>
        <w:fldChar w:fldCharType="separate"/>
      </w:r>
      <w:r>
        <w:rPr>
          <w:rFonts w:hint="eastAsia" w:ascii="仿宋_GB2312" w:hAnsi="仿宋_GB2312" w:eastAsia="仿宋_GB2312" w:cs="仿宋_GB2312"/>
          <w:color w:val="000000" w:themeColor="text1"/>
          <w:sz w:val="32"/>
          <w:szCs w:val="32"/>
          <w:vertAlign w:val="superscript"/>
        </w:rPr>
        <w:t>[17]</w:t>
      </w:r>
      <w:r>
        <w:rPr>
          <w:rFonts w:hint="eastAsia"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t>包括3个临床变量（年龄、血清CA125水平、是否肿瘤中心）和6个超声变量（肿瘤最大径、实性部分最大径、乳头数量、是否超过10个囊腔数、声影、腹水），可通过手机软件或在线应用输入相关变量自动计算卵巢肿瘤良恶性概率，结果以百分数表示，不仅展示了附件肿瘤良恶性的风险，还提供了各分期的概率。ADNEX和SR被一些学者认为是较为可靠的卵巢肿瘤辅助诊断工具。</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48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z w:val="32"/>
          <w:szCs w:val="32"/>
        </w:rPr>
        <w:t>2020年</w:t>
      </w:r>
      <w:r>
        <w:rPr>
          <w:rFonts w:hint="eastAsia" w:ascii="仿宋_GB2312" w:hAnsi="仿宋_GB2312" w:eastAsia="仿宋_GB2312" w:cs="仿宋_GB2312"/>
          <w:color w:val="000000" w:themeColor="text1"/>
          <w:spacing w:val="15"/>
          <w:sz w:val="32"/>
          <w:szCs w:val="32"/>
        </w:rPr>
        <w:t>ACR正式发布了O-RADS超声风险分层与管理的共识指南</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&lt;EndNote&gt;&lt;Cite&gt;&lt;Author&gt;Man&lt;/Author&gt;&lt;Year&gt;2015&lt;/Year&gt;&lt;RecNum&gt;22&lt;/RecNum&gt;&lt;DisplayText&gt;&lt;style face="superscript"&gt;[15]&lt;/style&gt;&lt;/DisplayText&gt;&lt;record&gt;&lt;rec-number&gt;22&lt;/rec-number&gt;&lt;foreign-keys&gt;&lt;key app="EN" db-id="ae259rtzjardpweaps0vv054d5r2sapzzfpw" timestamp="1643441455"&gt;22&lt;/key&gt;&lt;/foreign-keys&gt;&lt;ref-type name="中文期刊"&gt;17&lt;/ref-type&gt;&lt;contributors&gt;&lt;authors&gt;&lt;author&gt;Man, YN&lt;/author&gt;&lt;author&gt;Wang, YN&lt;/author&gt;&lt;author&gt;Hao, J&lt;/author&gt;&lt;author&gt;Liu, X&lt;/author&gt;&lt;author&gt;Liu, C&lt;/author&gt;&lt;author&gt;Zhu, C&lt;/author&gt;&lt;author&gt;Wu, XZ %J International journal of gynecological cancer : official journal of the International Gynecological Cancer Society&lt;/author&gt;&lt;/authors&gt;&lt;/contributors&gt;&lt;titles&gt;&lt;title&gt;Pretreatment plasma D-dimer, fibrinogen, and platelet levels significantly impact prognosis in patients with epithelial ovarian cancer independently of venous thromboembolism&lt;/title&gt;&lt;/titles&gt;&lt;pages&gt;24-32&lt;/pages&gt;&lt;volume&gt;25&lt;/volume&gt;&lt;number&gt;1&lt;/number&gt;&lt;dates&gt;&lt;year&gt;2015&lt;/year&gt;&lt;/dates&gt;&lt;accession-num&gt;25347092&lt;/accession-num&gt;&lt;label&gt;2.095&lt;/label&gt;&lt;urls&gt;&lt;/urls&gt;&lt;electronic-resource-num&gt;10.1097/igc.0000000000000303&lt;/electronic-resource-num&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[15]</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，指南应用了包含标准化描述符的O-RADS超声词典，将附件肿块分为6类 （包括O-RADS 0~5类），O-RADS 0：评价不完全。O-RADS 1：生理类别（正常绝经前卵巢），包括卵泡和黄体。O-RADS 2：几乎可以肯定的良性病变（恶性风险＜1%）。包括大部分＜10cm的单房囊肿。其中包括单纯性囊肿、囊壁光滑的非单纯性单房囊肿、用标准化描述符描述的典型良性（最大直径＜10cm）囊肿。彩色血流评分不用于评估此类病变。O-RADS 3：恶性低风险病变（恶性风险1%~＜10%）。包括与几乎肯定的良性病变超声特征一致但较大的病变，以及其他符合恶性风险略高病变描述术语的病变。包括直径≥10cm的单纯性囊肿、单房光滑的非单纯性囊肿，直径≥10cm的典型良性病变，以及单房囊肿伴囊壁不规则增厚但厚度＜3mm、彩色血流评分＜4分，或直径＜10cm的多房囊肿，或无血流信号的任意大小、外壁光滑的实性病变。血流信号的存在支持实性成分，若无血流信号则意义不大。从O-RADS 3类开始，彩色血流评分被纳入风险分层系统。O-RADS 4：恶性中等风险病变（恶性风险10%~＜50%）。包括≥ 10cm或彩色血流评分高达4分的内壁光滑的多房性囊肿，或具有不规则内壁或间隔不规则的任何大小的多房囊肿，任何大小、含0-3个乳头状突起的单房含实性成分囊肿，任何大小、彩色血流评分为1-2分的多房含实性成分囊肿，任何大小、彩色血流评分为2-3分的规则实性病变（实性成分≥ 80%）等。O-RADS 5：恶性高风险病变（恶性风险≥50%）。由高度预测恶性肿瘤的描述术语组成。包括任何大小、含≥4个乳头状突起的单房囊肿，任何大小，彩色血流评分为3-4分的多房含实性成分囊肿，任何大小、彩色血流评分为4分的规则实性病变任何大小和彩色血流评分的不规则实性病变。腹水和（或）腹膜结节也提示O-RADS 5。指南同时结合绝经状态对各类别提出相应的临床管理建议。</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48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z w:val="32"/>
          <w:szCs w:val="32"/>
        </w:rPr>
        <w:t>以上模型均经研究证实在卵巢肿瘤诊断方面具有较好的诊断效能，日常工作中超声医师可根据人群及临床需要的不同自由选择</w:t>
      </w:r>
      <w:r>
        <w:rPr>
          <w:rFonts w:hint="eastAsia" w:ascii="仿宋_GB2312" w:hAnsi="仿宋_GB2312" w:eastAsia="仿宋_GB2312" w:cs="仿宋_GB2312"/>
          <w:color w:val="000000" w:themeColor="text1"/>
          <w:spacing w:val="15"/>
          <w:sz w:val="32"/>
          <w:szCs w:val="32"/>
        </w:rPr>
        <w:t>。</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除了影像学检查，许多血清学标志物也已被相继验证与卵巢肿瘤发生相关。针对不同的患者可选择相应的肿瘤标志物检测，如CA125、人附睾蛋白4（human epididymal protein 4，HE4）、糖类抗原15-3（carbohydrate antigen 15-3，CA15-3）、糖类抗原19-9（carbohydrate  antigen 19-9，CA19-9）、甲胎蛋白（alpha-fetoprotein，AFP）、鳞状细胞癌抗原（squamous cell carcinoma antigen，SCCA）、神经元特异性烯醇化酶（neuron-specific enolase，NSE）、癌胚抗原（carcinoembryonic antigen，CEA）等，建议进行多种肿瘤标志物联合检测以弥补某种单一肿瘤标志物的不足从而提高诊断敏感性。抗苗勒氏管激素（anti-Mullerian hormone，AMH）被认为是绝经后或卵巢切除术后颗粒细胞肿瘤标志物</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&lt;EndNote&gt;&lt;Cite&gt;&lt;Author&gt;FaRkkil&lt;/Author&gt;&lt;Year&gt;2017&lt;/Year&gt;&lt;RecNum&gt;9&lt;/RecNum&gt;&lt;DisplayText&gt;&lt;style face="superscript"&gt;[18]&lt;/style&gt;&lt;/DisplayText&gt;&lt;record&gt;&lt;rec-number&gt;9&lt;/rec-number&gt;&lt;foreign-keys&gt;&lt;key app="EN" db-id="ae259rtzjardpweaps0vv054d5r2sapzzfpw" timestamp="1643123976"&gt;9&lt;/key&gt;&lt;/foreign-keys&gt;&lt;ref-type name="中文期刊"&gt;17&lt;/ref-type&gt;&lt;contributors&gt;&lt;authors&gt;&lt;author&gt;FaRkkil, A.&lt;/author&gt;&lt;author&gt;Haltia, U. M.&lt;/author&gt;&lt;author&gt;Tapper, J.&lt;/author&gt;&lt;author&gt;Mcconechy, M. K.&lt;/author&gt;&lt;author&gt;Huntsman, D. G.&lt;/author&gt;&lt;author&gt;Heikinheimo, M. %J Annals of Medicine&lt;/author&gt;&lt;/authors&gt;&lt;/contributors&gt;&lt;titles&gt;&lt;title&gt;Pathogenesis and treatment of adult-type granulosa cell tumor of the ovary&lt;/title&gt;&lt;/titles&gt;&lt;pages&gt;435-447&lt;/pages&gt;&lt;dates&gt;&lt;year&gt;2017&lt;/year&gt;&lt;/dates&gt;&lt;urls&gt;&lt;/urls&gt;&lt;/record&gt;&lt;/Cite&gt;&lt;/EndNote&gt;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[18]</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日常工作中此外还应注意以下几点：1、注意排除胃肠道原发肿瘤，如盆腔肿物为实性或双侧，或存在明显胃肠道症状，或胃肠道相关肿瘤指标异常升高时，胃肠道检查（胃镜、肠镜）尤为必要。2、注意乳腺检查，特别是有乳腺癌/卵巢癌家族史，或高度怀疑HBOC综合征，或已知携带乳腺癌/卵巢癌相关基因胚系致病突变时，应考虑行乳腺MRI和（或）钼靶检查。3、对接受保留生育功能手术的患者，如果卵巢肿瘤的病理学类型为子宫内膜样癌，需要排除合并子宫内膜癌（子宫内膜与卵巢双原发或子宫内膜癌转移至卵巢）的可能。对拒绝上述检查或其他特殊病例，如临床高度怀疑卵巢癌，可以进行腹水、胸水或肿块细针抽吸细胞学检查，当血清CA125/CEA值大于25，并且临床上可除外胃肠道转移性肿瘤，方可考虑为卵巢原发性肿瘤。最终确诊需病理组织学检查。对不适合直接行减瘤手术的患者，首先推荐进行肿物穿刺活检或腹腔镜探查取活组织进行病理学检查（囊性肿瘤不宜穿刺）</w:t>
      </w:r>
      <w:r>
        <w:rPr>
          <w:rFonts w:hint="eastAsia" w:ascii="仿宋_GB2312" w:hAnsi="仿宋_GB2312" w:eastAsia="仿宋_GB2312" w:cs="仿宋_GB2312"/>
          <w:color w:val="000000" w:themeColor="text1"/>
          <w:spacing w:val="15"/>
          <w:sz w:val="32"/>
          <w:szCs w:val="32"/>
        </w:rPr>
        <w:fldChar w:fldCharType="begin"/>
      </w:r>
      <w:r>
        <w:rPr>
          <w:rFonts w:hint="eastAsia" w:ascii="仿宋_GB2312" w:hAnsi="仿宋_GB2312" w:eastAsia="仿宋_GB2312" w:cs="仿宋_GB2312"/>
          <w:color w:val="000000" w:themeColor="text1"/>
          <w:spacing w:val="15"/>
          <w:sz w:val="32"/>
          <w:szCs w:val="32"/>
        </w:rPr>
        <w:instrText xml:space="preserve"> ADDIN EN.CITE &lt;EndNote&gt;&lt;Cite&gt;&lt;Year&gt;2021&lt;/Year&gt;&lt;RecNum&gt;7&lt;/RecNum&gt;&lt;DisplayText&gt;&lt;style face="superscript"&gt;[11]&lt;/style&gt;&lt;/DisplayText&gt;&lt;record&gt;&lt;rec-number&gt;7&lt;/rec-number&gt;&lt;foreign-keys&gt;&lt;key app="EN" db-id="ae259rtzjardpweaps0vv054d5r2sapzzfpw" timestamp="1643122212"&gt;7&lt;/key&gt;&lt;/foreign-keys&gt;&lt;ref-type name="中文期刊"&gt;17&lt;/ref-type&gt;&lt;contributors&gt;&lt;/contributors&gt;&lt;titles&gt;&lt;title&gt;卵巢恶性肿瘤诊断与治疗指南(2021年版) %J 中国癌症杂志 2021年31卷6期 490-500页 ISTIC PKU CSCD CA&lt;/title&gt;&lt;/titles&gt;&lt;dates&gt;&lt;year&gt;2021&lt;/year&gt;&lt;/dates&gt;&lt;urls&gt;&lt;/urls&gt;&lt;/record&gt;&lt;/Cite&gt;&lt;/EndNote&gt;</w:instrText>
      </w:r>
      <w:r>
        <w:rPr>
          <w:rFonts w:hint="eastAsia" w:ascii="仿宋_GB2312" w:hAnsi="仿宋_GB2312" w:eastAsia="仿宋_GB2312" w:cs="仿宋_GB2312"/>
          <w:color w:val="000000" w:themeColor="text1"/>
          <w:spacing w:val="15"/>
          <w:sz w:val="32"/>
          <w:szCs w:val="32"/>
        </w:rPr>
        <w:fldChar w:fldCharType="separate"/>
      </w:r>
      <w:r>
        <w:rPr>
          <w:rFonts w:hint="eastAsia" w:ascii="仿宋_GB2312" w:hAnsi="仿宋_GB2312" w:eastAsia="仿宋_GB2312" w:cs="仿宋_GB2312"/>
          <w:color w:val="000000" w:themeColor="text1"/>
          <w:spacing w:val="15"/>
          <w:sz w:val="32"/>
          <w:szCs w:val="32"/>
          <w:vertAlign w:val="superscript"/>
        </w:rPr>
        <w:t>[11]</w:t>
      </w:r>
      <w:r>
        <w:rPr>
          <w:rFonts w:hint="eastAsia" w:ascii="仿宋_GB2312" w:hAnsi="仿宋_GB2312" w:eastAsia="仿宋_GB2312" w:cs="仿宋_GB2312"/>
          <w:color w:val="000000" w:themeColor="text1"/>
          <w:spacing w:val="15"/>
          <w:sz w:val="32"/>
          <w:szCs w:val="32"/>
        </w:rPr>
        <w:fldChar w:fldCharType="end"/>
      </w:r>
      <w:r>
        <w:rPr>
          <w:rFonts w:hint="eastAsia" w:ascii="仿宋_GB2312" w:hAnsi="仿宋_GB2312" w:eastAsia="仿宋_GB2312" w:cs="仿宋_GB2312"/>
          <w:color w:val="000000" w:themeColor="text1"/>
          <w:spacing w:val="15"/>
          <w:sz w:val="32"/>
          <w:szCs w:val="32"/>
        </w:rPr>
        <w:t>。</w:t>
      </w:r>
    </w:p>
    <w:p>
      <w:pPr>
        <w:keepNext w:val="0"/>
        <w:keepLines w:val="0"/>
        <w:pageBreakBefore w:val="0"/>
        <w:widowControl/>
        <w:kinsoku/>
        <w:wordWrap/>
        <w:overflowPunct/>
        <w:topLinePunct w:val="0"/>
        <w:autoSpaceDE/>
        <w:autoSpaceDN/>
        <w:bidi w:val="0"/>
        <w:spacing w:beforeAutospacing="0" w:after="0" w:afterAutospacing="0" w:line="590" w:lineRule="exact"/>
        <w:ind w:left="0" w:leftChars="0" w:right="0" w:rightChars="0" w:firstLine="510" w:firstLineChars="200"/>
        <w:jc w:val="both"/>
        <w:textAlignment w:val="auto"/>
        <w:outlineLvl w:val="9"/>
        <w:rPr>
          <w:rFonts w:cs="Arial" w:asciiTheme="minorEastAsia" w:hAnsiTheme="minorEastAsia" w:eastAsiaTheme="minorEastAsia"/>
          <w:color w:val="000000" w:themeColor="text1"/>
          <w:spacing w:val="15"/>
        </w:rPr>
      </w:pPr>
      <w:r>
        <w:rPr>
          <w:rFonts w:hint="eastAsia" w:ascii="仿宋_GB2312" w:hAnsi="仿宋_GB2312" w:eastAsia="仿宋_GB2312" w:cs="仿宋_GB2312"/>
          <w:color w:val="000000" w:themeColor="text1"/>
          <w:spacing w:val="15"/>
          <w:sz w:val="32"/>
          <w:szCs w:val="32"/>
        </w:rPr>
        <w:t>综上所述，卵巢肿瘤的早期筛查和诊断虽仍待更深入的研究，但日常工作中可以通过详细的病史采集、完善相关检查、选择适当的诊断工具或联合应用多种诊断方式以尽可能提高诊断敏感性，相信未来会有更多更优秀的诊断工具和方法被相继推出。</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lang w:eastAsia="zh-CN"/>
        </w:rPr>
      </w:pP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lang w:eastAsia="zh-CN"/>
        </w:rPr>
      </w:pP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lang w:eastAsia="zh-CN"/>
        </w:rPr>
      </w:pP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firstLine="510" w:firstLineChars="200"/>
        <w:jc w:val="both"/>
        <w:textAlignment w:val="auto"/>
        <w:outlineLvl w:val="9"/>
        <w:rPr>
          <w:rFonts w:hint="eastAsia" w:ascii="仿宋_GB2312" w:hAnsi="仿宋_GB2312" w:eastAsia="仿宋_GB2312" w:cs="仿宋_GB2312"/>
          <w:color w:val="000000" w:themeColor="text1"/>
          <w:spacing w:val="15"/>
          <w:sz w:val="32"/>
          <w:szCs w:val="32"/>
          <w:lang w:eastAsia="zh-CN"/>
        </w:rPr>
      </w:pP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
          <w:bCs/>
          <w:color w:val="000000" w:themeColor="text1"/>
          <w:spacing w:val="15"/>
          <w:sz w:val="32"/>
          <w:szCs w:val="32"/>
        </w:rPr>
      </w:pPr>
      <w:r>
        <w:rPr>
          <w:rFonts w:hint="eastAsia" w:ascii="仿宋_GB2312" w:hAnsi="仿宋_GB2312" w:eastAsia="仿宋_GB2312" w:cs="仿宋_GB2312"/>
          <w:b/>
          <w:bCs/>
          <w:color w:val="000000" w:themeColor="text1"/>
          <w:spacing w:val="15"/>
          <w:sz w:val="32"/>
          <w:szCs w:val="32"/>
          <w:lang w:eastAsia="zh-CN"/>
        </w:rPr>
        <w:t>附测试</w:t>
      </w:r>
      <w:r>
        <w:rPr>
          <w:rFonts w:hint="eastAsia" w:ascii="仿宋_GB2312" w:hAnsi="仿宋_GB2312" w:eastAsia="仿宋_GB2312" w:cs="仿宋_GB2312"/>
          <w:b/>
          <w:bCs/>
          <w:color w:val="000000" w:themeColor="text1"/>
          <w:spacing w:val="15"/>
          <w:sz w:val="32"/>
          <w:szCs w:val="32"/>
        </w:rPr>
        <w:t>单选题</w:t>
      </w:r>
      <w:r>
        <w:rPr>
          <w:rFonts w:hint="eastAsia" w:ascii="仿宋_GB2312" w:hAnsi="仿宋_GB2312" w:eastAsia="仿宋_GB2312" w:cs="仿宋_GB2312"/>
          <w:b/>
          <w:bCs/>
          <w:color w:val="000000" w:themeColor="text1"/>
          <w:spacing w:val="15"/>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1.以下哪项是卵巢癌的危险因素？</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 xml:space="preserve">A.绝经年龄晚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B.未孕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C.吸烟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 xml:space="preserve">D.卵巢癌家族史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E.以上都是</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2.已知哪个基因突变会增加卵巢癌的患病风险？</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lang w:val="en-US" w:eastAsia="zh-CN"/>
        </w:rPr>
      </w:pPr>
      <w:r>
        <w:rPr>
          <w:rFonts w:hint="eastAsia" w:ascii="仿宋_GB2312" w:hAnsi="仿宋_GB2312" w:eastAsia="仿宋_GB2312" w:cs="仿宋_GB2312"/>
          <w:color w:val="000000" w:themeColor="text1"/>
          <w:spacing w:val="15"/>
          <w:sz w:val="32"/>
          <w:szCs w:val="32"/>
        </w:rPr>
        <w:t xml:space="preserve">A.BRCA1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B.RAD51C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C.RAD51D </w:t>
      </w:r>
      <w:r>
        <w:rPr>
          <w:rFonts w:hint="eastAsia" w:ascii="仿宋_GB2312" w:hAnsi="仿宋_GB2312" w:eastAsia="仿宋_GB2312" w:cs="仿宋_GB2312"/>
          <w:color w:val="000000" w:themeColor="text1"/>
          <w:spacing w:val="15"/>
          <w:sz w:val="32"/>
          <w:szCs w:val="32"/>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D.PALB2</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E.以上都是</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3.卵巢癌可表现为什么症状？</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lang w:val="en-US" w:eastAsia="zh-CN"/>
        </w:rPr>
      </w:pPr>
      <w:r>
        <w:rPr>
          <w:rFonts w:hint="eastAsia" w:ascii="仿宋_GB2312" w:hAnsi="仿宋_GB2312" w:eastAsia="仿宋_GB2312" w:cs="仿宋_GB2312"/>
          <w:color w:val="000000" w:themeColor="text1"/>
          <w:spacing w:val="15"/>
          <w:sz w:val="32"/>
          <w:szCs w:val="32"/>
        </w:rPr>
        <w:t xml:space="preserve">A.腹胀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B.腹痛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C.腹围增加 </w:t>
      </w:r>
      <w:r>
        <w:rPr>
          <w:rFonts w:hint="eastAsia" w:ascii="仿宋_GB2312" w:hAnsi="仿宋_GB2312" w:eastAsia="仿宋_GB2312" w:cs="仿宋_GB2312"/>
          <w:color w:val="000000" w:themeColor="text1"/>
          <w:spacing w:val="15"/>
          <w:sz w:val="32"/>
          <w:szCs w:val="32"/>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 xml:space="preserve">D.尿频、尿急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E.以上都是</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4.以下哪个模型可作为为卵巢或附件肿块的辅助诊断工具？</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 xml:space="preserve">A.RMI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B.ROMA</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C.ADNEX模型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D.IOTA SR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E.以上都是</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pacing w:val="15"/>
          <w:sz w:val="32"/>
          <w:szCs w:val="32"/>
        </w:rPr>
        <w:t>5.</w:t>
      </w:r>
      <w:r>
        <w:rPr>
          <w:rFonts w:hint="eastAsia" w:ascii="仿宋_GB2312" w:hAnsi="仿宋_GB2312" w:eastAsia="仿宋_GB2312" w:cs="仿宋_GB2312"/>
          <w:color w:val="000000" w:themeColor="text1"/>
          <w:sz w:val="32"/>
          <w:szCs w:val="32"/>
        </w:rPr>
        <w:t xml:space="preserve"> IOTA简单规则(SR)于哪一年提出？</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lang w:val="en-US" w:eastAsia="zh-CN"/>
        </w:rPr>
      </w:pPr>
      <w:r>
        <w:rPr>
          <w:rFonts w:hint="eastAsia" w:ascii="仿宋_GB2312" w:hAnsi="仿宋_GB2312" w:eastAsia="仿宋_GB2312" w:cs="仿宋_GB2312"/>
          <w:color w:val="000000" w:themeColor="text1"/>
          <w:spacing w:val="15"/>
          <w:sz w:val="32"/>
          <w:szCs w:val="32"/>
        </w:rPr>
        <w:t xml:space="preserve">A.2007年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B.2008年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C.2009年 </w:t>
      </w:r>
      <w:r>
        <w:rPr>
          <w:rFonts w:hint="eastAsia" w:ascii="仿宋_GB2312" w:hAnsi="仿宋_GB2312" w:eastAsia="仿宋_GB2312" w:cs="仿宋_GB2312"/>
          <w:color w:val="000000" w:themeColor="text1"/>
          <w:spacing w:val="15"/>
          <w:sz w:val="32"/>
          <w:szCs w:val="32"/>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 xml:space="preserve">D.2014年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E.2020年</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6.以下哪项为简单规则的M规则？</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rPr>
        <w:t xml:space="preserve">A.彩色多普勒超声血流信号极其丰富  </w:t>
      </w:r>
      <w:r>
        <w:rPr>
          <w:rFonts w:hint="eastAsia" w:ascii="仿宋_GB2312" w:hAnsi="仿宋_GB2312" w:eastAsia="仿宋_GB2312" w:cs="仿宋_GB2312"/>
          <w:color w:val="000000" w:themeColor="text1"/>
          <w:sz w:val="32"/>
          <w:szCs w:val="32"/>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B.单房囊肿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C.有实性成分，但实性成分最大直径&lt;7 mm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D.伴声影 </w:t>
      </w:r>
      <w:r>
        <w:rPr>
          <w:rFonts w:hint="eastAsia" w:ascii="仿宋_GB2312" w:hAnsi="仿宋_GB2312" w:eastAsia="仿宋_GB2312" w:cs="仿宋_GB2312"/>
          <w:color w:val="000000" w:themeColor="text1"/>
          <w:sz w:val="32"/>
          <w:szCs w:val="32"/>
          <w:lang w:val="en-US" w:eastAsia="zh-CN"/>
        </w:rPr>
        <w:t xml:space="preserve">           </w:t>
      </w:r>
      <w:r>
        <w:rPr>
          <w:rFonts w:hint="eastAsia" w:ascii="仿宋_GB2312" w:hAnsi="仿宋_GB2312" w:eastAsia="仿宋_GB2312" w:cs="仿宋_GB2312"/>
          <w:color w:val="000000" w:themeColor="text1"/>
          <w:sz w:val="32"/>
          <w:szCs w:val="32"/>
        </w:rPr>
        <w:t xml:space="preserve">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z w:val="32"/>
          <w:szCs w:val="32"/>
        </w:rPr>
        <w:t>E. 彩色多普勒超声无血流信号</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7.根据GI-RADS，以下哪项不是卵巢肿瘤的恶性特征?</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 xml:space="preserve">A.≥7mm乳头状突起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 B.分隔厚＜3mm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 C.RI&lt;0.50  D.实性成分≥50%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 E.腹水</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8.O-RADS将含≥4个乳头状突起的单房囊肿归类为几类？</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 xml:space="preserve">A.O-RADS 1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B.O-RADS 2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C.O-RADS 3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D.O-RADS 4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E.O-RADS 5</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9.以下哪项肿瘤标志物与卵巢癌相关？</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 xml:space="preserve">A.CA125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B.HE4</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  C.CA153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 D.AMH </w:t>
      </w:r>
      <w:r>
        <w:rPr>
          <w:rFonts w:hint="eastAsia" w:ascii="仿宋_GB2312" w:hAnsi="仿宋_GB2312" w:eastAsia="仿宋_GB2312" w:cs="仿宋_GB2312"/>
          <w:bCs/>
          <w:color w:val="000000" w:themeColor="text1"/>
          <w:sz w:val="32"/>
          <w:szCs w:val="32"/>
          <w:lang w:val="en-US" w:eastAsia="zh-CN"/>
        </w:rPr>
        <w:t xml:space="preserve">   </w:t>
      </w:r>
      <w:r>
        <w:rPr>
          <w:rFonts w:hint="eastAsia" w:ascii="仿宋_GB2312" w:hAnsi="仿宋_GB2312" w:eastAsia="仿宋_GB2312" w:cs="仿宋_GB2312"/>
          <w:bCs/>
          <w:color w:val="000000" w:themeColor="text1"/>
          <w:sz w:val="32"/>
          <w:szCs w:val="32"/>
        </w:rPr>
        <w:t xml:space="preserve"> E.以上都是</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10．以下哪种方式可以确诊卵巢肿瘤？</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lang w:val="en-US" w:eastAsia="zh-CN"/>
        </w:rPr>
      </w:pPr>
      <w:r>
        <w:rPr>
          <w:rFonts w:hint="eastAsia" w:ascii="仿宋_GB2312" w:hAnsi="仿宋_GB2312" w:eastAsia="仿宋_GB2312" w:cs="仿宋_GB2312"/>
          <w:color w:val="000000" w:themeColor="text1"/>
          <w:spacing w:val="15"/>
          <w:sz w:val="32"/>
          <w:szCs w:val="32"/>
        </w:rPr>
        <w:t xml:space="preserve">A.CT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B.MRI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C.超声 </w:t>
      </w:r>
      <w:r>
        <w:rPr>
          <w:rFonts w:hint="eastAsia" w:ascii="仿宋_GB2312" w:hAnsi="仿宋_GB2312" w:eastAsia="仿宋_GB2312" w:cs="仿宋_GB2312"/>
          <w:color w:val="000000" w:themeColor="text1"/>
          <w:spacing w:val="15"/>
          <w:sz w:val="32"/>
          <w:szCs w:val="32"/>
          <w:lang w:val="en-US" w:eastAsia="zh-CN"/>
        </w:rPr>
        <w:t xml:space="preserve">    </w:t>
      </w:r>
      <w:r>
        <w:rPr>
          <w:rFonts w:hint="eastAsia" w:ascii="仿宋_GB2312" w:hAnsi="仿宋_GB2312" w:eastAsia="仿宋_GB2312" w:cs="仿宋_GB2312"/>
          <w:color w:val="000000" w:themeColor="text1"/>
          <w:spacing w:val="15"/>
          <w:sz w:val="32"/>
          <w:szCs w:val="32"/>
        </w:rPr>
        <w:t xml:space="preserve"> D.穿刺活检  </w:t>
      </w:r>
      <w:r>
        <w:rPr>
          <w:rFonts w:hint="eastAsia" w:ascii="仿宋_GB2312" w:hAnsi="仿宋_GB2312" w:eastAsia="仿宋_GB2312" w:cs="仿宋_GB2312"/>
          <w:color w:val="000000" w:themeColor="text1"/>
          <w:spacing w:val="15"/>
          <w:sz w:val="32"/>
          <w:szCs w:val="32"/>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r>
        <w:rPr>
          <w:rFonts w:hint="eastAsia" w:ascii="仿宋_GB2312" w:hAnsi="仿宋_GB2312" w:eastAsia="仿宋_GB2312" w:cs="仿宋_GB2312"/>
          <w:color w:val="000000" w:themeColor="text1"/>
          <w:spacing w:val="15"/>
          <w:sz w:val="32"/>
          <w:szCs w:val="32"/>
        </w:rPr>
        <w:t>E.肿瘤标志物</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left="0" w:leftChars="0" w:right="0" w:rightChars="0"/>
        <w:jc w:val="both"/>
        <w:textAlignment w:val="auto"/>
        <w:outlineLvl w:val="9"/>
        <w:rPr>
          <w:rFonts w:hint="eastAsia" w:ascii="仿宋_GB2312" w:hAnsi="仿宋_GB2312" w:eastAsia="仿宋_GB2312" w:cs="仿宋_GB2312"/>
          <w:color w:val="000000" w:themeColor="text1"/>
          <w:spacing w:val="15"/>
          <w:sz w:val="32"/>
          <w:szCs w:val="32"/>
        </w:rPr>
      </w:pPr>
    </w:p>
    <w:sectPr>
      <w:pgSz w:w="11906" w:h="16838"/>
      <w:pgMar w:top="1814" w:right="1587" w:bottom="1701" w:left="1587" w:header="708" w:footer="709" w:gutter="0"/>
      <w:paperSrc/>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EN.InstantFormat" w:val="&lt;ENInstantFormat&gt;&lt;Enabled&gt;1&lt;/Enabled&gt;&lt;ScanUnformatted&gt;1&lt;/ScanUnformatted&gt;&lt;ScanChanges&gt;1&lt;/ScanChanges&gt;&lt;Suspended&gt;0&lt;/Suspended&gt;&lt;/ENInstantFormat&gt;"/>
    <w:docVar w:name="EN.Layout" w:val="&lt;ENLayout&gt;&lt;Style&gt;Chinese Std GBT7714 (numeric)&lt;/Style&gt;&lt;LeftDelim&gt;{&lt;/LeftDelim&gt;&lt;RightDelim&gt;}&lt;/RightDelim&gt;&lt;FontName&gt;宋体&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259rtzjardpweaps0vv054d5r2sapzzfpw&quot;&gt;卵巢肿瘤术前诊断&lt;record-ids&gt;&lt;item&gt;1&lt;/item&gt;&lt;item&gt;2&lt;/item&gt;&lt;item&gt;3&lt;/item&gt;&lt;item&gt;4&lt;/item&gt;&lt;item&gt;5&lt;/item&gt;&lt;item&gt;6&lt;/item&gt;&lt;item&gt;7&lt;/item&gt;&lt;item&gt;8&lt;/item&gt;&lt;item&gt;9&lt;/item&gt;&lt;item&gt;10&lt;/item&gt;&lt;item&gt;11&lt;/item&gt;&lt;item&gt;12&lt;/item&gt;&lt;item&gt;13&lt;/item&gt;&lt;item&gt;14&lt;/item&gt;&lt;item&gt;16&lt;/item&gt;&lt;item&gt;18&lt;/item&gt;&lt;item&gt;21&lt;/item&gt;&lt;item&gt;22&lt;/item&gt;&lt;/record-ids&gt;&lt;/item&gt;&lt;/Libraries&gt;"/>
  </w:docVars>
  <w:rsids>
    <w:rsidRoot w:val="00D31D50"/>
    <w:rsid w:val="00000B18"/>
    <w:rsid w:val="000032DA"/>
    <w:rsid w:val="000107A6"/>
    <w:rsid w:val="00032E9C"/>
    <w:rsid w:val="00086020"/>
    <w:rsid w:val="000949B1"/>
    <w:rsid w:val="000C22CA"/>
    <w:rsid w:val="000C3F75"/>
    <w:rsid w:val="000F5871"/>
    <w:rsid w:val="001027F2"/>
    <w:rsid w:val="00150059"/>
    <w:rsid w:val="001518EF"/>
    <w:rsid w:val="00171275"/>
    <w:rsid w:val="001717C5"/>
    <w:rsid w:val="00214A36"/>
    <w:rsid w:val="002172A8"/>
    <w:rsid w:val="002E5B12"/>
    <w:rsid w:val="002F4D5D"/>
    <w:rsid w:val="003078B7"/>
    <w:rsid w:val="00323B43"/>
    <w:rsid w:val="00353E2D"/>
    <w:rsid w:val="003B7A0C"/>
    <w:rsid w:val="003D37D8"/>
    <w:rsid w:val="004075C0"/>
    <w:rsid w:val="00426133"/>
    <w:rsid w:val="004358AB"/>
    <w:rsid w:val="004A7222"/>
    <w:rsid w:val="004B37FC"/>
    <w:rsid w:val="00516E14"/>
    <w:rsid w:val="005173E5"/>
    <w:rsid w:val="005656D7"/>
    <w:rsid w:val="0056636F"/>
    <w:rsid w:val="005D269C"/>
    <w:rsid w:val="006365D1"/>
    <w:rsid w:val="00636DC3"/>
    <w:rsid w:val="006560F4"/>
    <w:rsid w:val="00657A53"/>
    <w:rsid w:val="0066296D"/>
    <w:rsid w:val="00687C56"/>
    <w:rsid w:val="00691CE6"/>
    <w:rsid w:val="00694E40"/>
    <w:rsid w:val="006B0622"/>
    <w:rsid w:val="006E299E"/>
    <w:rsid w:val="007270E5"/>
    <w:rsid w:val="00756C26"/>
    <w:rsid w:val="007B0D6E"/>
    <w:rsid w:val="007E5714"/>
    <w:rsid w:val="008B392C"/>
    <w:rsid w:val="008B7726"/>
    <w:rsid w:val="008F6EDB"/>
    <w:rsid w:val="00937B62"/>
    <w:rsid w:val="00981189"/>
    <w:rsid w:val="00987A5F"/>
    <w:rsid w:val="009B298D"/>
    <w:rsid w:val="00A067D3"/>
    <w:rsid w:val="00A31125"/>
    <w:rsid w:val="00A35665"/>
    <w:rsid w:val="00A548F4"/>
    <w:rsid w:val="00B102E8"/>
    <w:rsid w:val="00B236E4"/>
    <w:rsid w:val="00BE3F17"/>
    <w:rsid w:val="00C24F21"/>
    <w:rsid w:val="00C400FD"/>
    <w:rsid w:val="00C51388"/>
    <w:rsid w:val="00C71F29"/>
    <w:rsid w:val="00C80998"/>
    <w:rsid w:val="00CA26A8"/>
    <w:rsid w:val="00CE7C7F"/>
    <w:rsid w:val="00D251B2"/>
    <w:rsid w:val="00D31D50"/>
    <w:rsid w:val="00D677B6"/>
    <w:rsid w:val="00D71B7F"/>
    <w:rsid w:val="00D957B7"/>
    <w:rsid w:val="00DB3380"/>
    <w:rsid w:val="00EE0987"/>
    <w:rsid w:val="00F2023E"/>
    <w:rsid w:val="00F33199"/>
    <w:rsid w:val="00F36F45"/>
    <w:rsid w:val="00F65487"/>
    <w:rsid w:val="00FC7134"/>
    <w:rsid w:val="00FD7E4E"/>
    <w:rsid w:val="00FE31A9"/>
    <w:rsid w:val="00FF3E0A"/>
    <w:rsid w:val="49BA26A5"/>
    <w:rsid w:val="5A693E31"/>
    <w:rsid w:val="5E4B786C"/>
    <w:rsid w:val="5F363797"/>
    <w:rsid w:val="76174A3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Normal (Web)"/>
    <w:basedOn w:val="1"/>
    <w:link w:val="7"/>
    <w:unhideWhenUsed/>
    <w:uiPriority w:val="99"/>
    <w:pPr>
      <w:adjustRightInd/>
      <w:snapToGrid/>
      <w:spacing w:before="100" w:beforeAutospacing="1" w:after="100" w:afterAutospacing="1"/>
    </w:pPr>
    <w:rPr>
      <w:rFonts w:ascii="宋体" w:hAnsi="宋体" w:eastAsia="宋体" w:cs="宋体"/>
      <w:sz w:val="24"/>
      <w:szCs w:val="24"/>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EndNote Bibliography Title"/>
    <w:basedOn w:val="1"/>
    <w:link w:val="8"/>
    <w:uiPriority w:val="0"/>
    <w:pPr>
      <w:spacing w:after="0"/>
      <w:jc w:val="center"/>
    </w:pPr>
    <w:rPr>
      <w:rFonts w:ascii="宋体" w:hAnsi="宋体" w:eastAsia="宋体"/>
      <w:sz w:val="24"/>
    </w:rPr>
  </w:style>
  <w:style w:type="character" w:customStyle="1" w:styleId="7">
    <w:name w:val="普通(网站) Char"/>
    <w:basedOn w:val="3"/>
    <w:link w:val="2"/>
    <w:uiPriority w:val="99"/>
    <w:rPr>
      <w:rFonts w:ascii="宋体" w:hAnsi="宋体" w:eastAsia="宋体" w:cs="宋体"/>
      <w:sz w:val="24"/>
      <w:szCs w:val="24"/>
    </w:rPr>
  </w:style>
  <w:style w:type="character" w:customStyle="1" w:styleId="8">
    <w:name w:val="EndNote Bibliography Title Char"/>
    <w:basedOn w:val="7"/>
    <w:link w:val="6"/>
    <w:uiPriority w:val="0"/>
    <w:rPr>
      <w:rFonts w:ascii="宋体" w:hAnsi="宋体" w:eastAsia="宋体" w:cs="宋体"/>
      <w:sz w:val="24"/>
      <w:szCs w:val="24"/>
    </w:rPr>
  </w:style>
  <w:style w:type="paragraph" w:customStyle="1" w:styleId="9">
    <w:name w:val="EndNote Bibliography"/>
    <w:basedOn w:val="1"/>
    <w:link w:val="10"/>
    <w:uiPriority w:val="0"/>
    <w:pPr>
      <w:jc w:val="both"/>
    </w:pPr>
    <w:rPr>
      <w:rFonts w:ascii="宋体" w:hAnsi="宋体" w:eastAsia="宋体"/>
      <w:sz w:val="24"/>
    </w:rPr>
  </w:style>
  <w:style w:type="character" w:customStyle="1" w:styleId="10">
    <w:name w:val="EndNote Bibliography Char"/>
    <w:basedOn w:val="7"/>
    <w:link w:val="9"/>
    <w:uiPriority w:val="0"/>
    <w:rPr>
      <w:rFonts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3915</Words>
  <Characters>22319</Characters>
  <Lines>185</Lines>
  <Paragraphs>52</Paragraphs>
  <TotalTime>0</TotalTime>
  <ScaleCrop>false</ScaleCrop>
  <LinksUpToDate>false</LinksUpToDate>
  <CharactersWithSpaces>26182</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lenovo</cp:lastModifiedBy>
  <dcterms:modified xsi:type="dcterms:W3CDTF">2022-08-12T02:05:58Z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